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8C47F">
      <w:pPr>
        <w:rPr>
          <w:rFonts w:hint="default" w:ascii="Times New Roman" w:hAnsi="Times New Roman" w:eastAsia="黑体" w:cs="Times New Roman"/>
          <w:sz w:val="32"/>
          <w:szCs w:val="32"/>
        </w:rPr>
        <w:sectPr>
          <w:footerReference r:id="rId3" w:type="default"/>
          <w:pgSz w:w="11906" w:h="16838"/>
          <w:pgMar w:top="2098" w:right="1418" w:bottom="1871" w:left="1418" w:header="851" w:footer="992" w:gutter="0"/>
          <w:cols w:space="0" w:num="1"/>
          <w:titlePg/>
          <w:docGrid w:type="lines" w:linePitch="312" w:charSpace="0"/>
        </w:sectPr>
      </w:pPr>
      <w:r>
        <w:rPr>
          <w:rFonts w:hint="default" w:ascii="Times New Roman" w:hAnsi="Times New Roman" w:cs="Times New Roman"/>
        </w:rPr>
        <w:drawing>
          <wp:anchor distT="0" distB="0" distL="114300" distR="114300" simplePos="0" relativeHeight="251660288" behindDoc="1" locked="0" layoutInCell="1" allowOverlap="1">
            <wp:simplePos x="0" y="0"/>
            <wp:positionH relativeFrom="column">
              <wp:posOffset>-889000</wp:posOffset>
            </wp:positionH>
            <wp:positionV relativeFrom="page">
              <wp:posOffset>0</wp:posOffset>
            </wp:positionV>
            <wp:extent cx="7559675" cy="10692130"/>
            <wp:effectExtent l="0" t="0" r="3175" b="13970"/>
            <wp:wrapNone/>
            <wp:docPr id="4" name="图片 4"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稻壳儿相关资料\封面-非模\01.jpg01"/>
                    <pic:cNvPicPr>
                      <a:picLocks noChangeAspect="1"/>
                    </pic:cNvPicPr>
                  </pic:nvPicPr>
                  <pic:blipFill>
                    <a:blip r:embed="rId10"/>
                    <a:srcRect/>
                    <a:stretch>
                      <a:fillRect/>
                    </a:stretch>
                  </pic:blipFill>
                  <pic:spPr>
                    <a:xfrm>
                      <a:off x="0" y="0"/>
                      <a:ext cx="7559675" cy="10692130"/>
                    </a:xfrm>
                    <a:prstGeom prst="rect">
                      <a:avLst/>
                    </a:prstGeom>
                  </pic:spPr>
                </pic:pic>
              </a:graphicData>
            </a:graphic>
          </wp:anchor>
        </w:drawing>
      </w: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-299720</wp:posOffset>
                </wp:positionH>
                <wp:positionV relativeFrom="paragraph">
                  <wp:posOffset>353060</wp:posOffset>
                </wp:positionV>
                <wp:extent cx="5759450" cy="2075180"/>
                <wp:effectExtent l="0" t="0" r="0" b="0"/>
                <wp:wrapNone/>
                <wp:docPr id="1" name="矩形 13"/>
                <wp:cNvGraphicFramePr/>
                <a:graphic xmlns:a="http://schemas.openxmlformats.org/drawingml/2006/main">
                  <a:graphicData uri="http://schemas.microsoft.com/office/word/2010/wordprocessingShape">
                    <wps:wsp>
                      <wps:cNvSpPr/>
                      <wps:spPr>
                        <a:xfrm>
                          <a:off x="0" y="0"/>
                          <a:ext cx="5759450" cy="2075180"/>
                        </a:xfrm>
                        <a:prstGeom prst="rect">
                          <a:avLst/>
                        </a:prstGeom>
                      </wps:spPr>
                      <wps:txbx>
                        <w:txbxContent>
                          <w:p w14:paraId="15B30B3F">
                            <w:pPr>
                              <w:pStyle w:val="7"/>
                              <w:spacing w:line="1400" w:lineRule="exact"/>
                              <w:jc w:val="left"/>
                              <w:rPr>
                                <w:rFonts w:ascii="微软雅黑" w:hAnsi="微软雅黑" w:eastAsia="微软雅黑" w:cs="微软雅黑"/>
                                <w:b/>
                                <w:color w:val="FFFFFF" w:themeColor="background1"/>
                                <w:sz w:val="96"/>
                                <w:szCs w:val="96"/>
                                <w14:textFill>
                                  <w14:solidFill>
                                    <w14:schemeClr w14:val="bg1"/>
                                  </w14:solidFill>
                                </w14:textFill>
                              </w:rPr>
                            </w:pPr>
                            <w:r>
                              <w:rPr>
                                <w:rFonts w:hint="eastAsia" w:ascii="微软雅黑" w:hAnsi="微软雅黑" w:eastAsia="微软雅黑" w:cs="微软雅黑"/>
                                <w:b/>
                                <w:color w:val="FFFFFF" w:themeColor="background1"/>
                                <w:sz w:val="96"/>
                                <w:szCs w:val="96"/>
                                <w14:textFill>
                                  <w14:solidFill>
                                    <w14:schemeClr w14:val="bg1"/>
                                  </w14:solidFill>
                                </w14:textFill>
                              </w:rPr>
                              <w:t>2025年度</w:t>
                            </w:r>
                          </w:p>
                          <w:p w14:paraId="5FC9FCCC">
                            <w:pPr>
                              <w:pStyle w:val="7"/>
                              <w:spacing w:line="1400" w:lineRule="exact"/>
                              <w:jc w:val="left"/>
                              <w:rPr>
                                <w:rFonts w:ascii="微软雅黑" w:hAnsi="微软雅黑" w:eastAsia="微软雅黑" w:cs="微软雅黑"/>
                                <w:b/>
                                <w:color w:val="FFFFFF" w:themeColor="background1"/>
                                <w:sz w:val="96"/>
                                <w:szCs w:val="96"/>
                                <w14:textFill>
                                  <w14:solidFill>
                                    <w14:schemeClr w14:val="bg1"/>
                                  </w14:solidFill>
                                </w14:textFill>
                              </w:rPr>
                            </w:pPr>
                            <w:r>
                              <w:rPr>
                                <w:rFonts w:hint="eastAsia" w:ascii="微软雅黑" w:hAnsi="微软雅黑" w:eastAsia="微软雅黑" w:cs="微软雅黑"/>
                                <w:b/>
                                <w:color w:val="FFFFFF" w:themeColor="background1"/>
                                <w:sz w:val="96"/>
                                <w:szCs w:val="96"/>
                                <w:lang w:eastAsia="zh-CN"/>
                                <w14:textFill>
                                  <w14:solidFill>
                                    <w14:schemeClr w14:val="bg1"/>
                                  </w14:solidFill>
                                </w14:textFill>
                              </w:rPr>
                              <w:t>单位</w:t>
                            </w:r>
                            <w:r>
                              <w:rPr>
                                <w:rFonts w:hint="eastAsia" w:ascii="微软雅黑" w:hAnsi="微软雅黑" w:eastAsia="微软雅黑" w:cs="微软雅黑"/>
                                <w:b/>
                                <w:color w:val="FFFFFF" w:themeColor="background1"/>
                                <w:sz w:val="96"/>
                                <w:szCs w:val="96"/>
                                <w14:textFill>
                                  <w14:solidFill>
                                    <w14:schemeClr w14:val="bg1"/>
                                  </w14:solidFill>
                                </w14:textFill>
                              </w:rPr>
                              <w:t>决算公开文本</w:t>
                            </w:r>
                          </w:p>
                        </w:txbxContent>
                      </wps:txbx>
                      <wps:bodyPr wrap="square">
                        <a:noAutofit/>
                      </wps:bodyPr>
                    </wps:wsp>
                  </a:graphicData>
                </a:graphic>
              </wp:anchor>
            </w:drawing>
          </mc:Choice>
          <mc:Fallback>
            <w:pict>
              <v:rect id="矩形 13" o:spid="_x0000_s1026" o:spt="1" style="position:absolute;left:0pt;margin-left:-23.6pt;margin-top:27.8pt;height:163.4pt;width:453.5pt;z-index:251661312;mso-width-relative:page;mso-height-relative:page;" filled="f" stroked="f" coordsize="21600,21600" o:gfxdata="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bac0p3AAAAAoB&#10;AAAPAAAAAAAAAAEAIAAAACIAAABkcnMvZG93bnJldi54bWxQSwECFAAUAAAACACHTuJAqNxfLaUB&#10;AAA8AwAADgAAAAAAAAABACAAAAArAQAAZHJzL2Uyb0RvYy54bWxQSwUGAAAAAAYABgBZAQAAQgUA&#10;AAAA&#10;">
                <v:fill on="f" focussize="0,0"/>
                <v:stroke on="f"/>
                <v:imagedata o:title=""/>
                <o:lock v:ext="edit" aspectratio="f"/>
                <v:textbox>
                  <w:txbxContent>
                    <w:p w14:paraId="15B30B3F">
                      <w:pPr>
                        <w:pStyle w:val="7"/>
                        <w:spacing w:line="1400" w:lineRule="exact"/>
                        <w:jc w:val="left"/>
                        <w:rPr>
                          <w:rFonts w:ascii="微软雅黑" w:hAnsi="微软雅黑" w:eastAsia="微软雅黑" w:cs="微软雅黑"/>
                          <w:b/>
                          <w:color w:val="FFFFFF" w:themeColor="background1"/>
                          <w:sz w:val="96"/>
                          <w:szCs w:val="96"/>
                          <w14:textFill>
                            <w14:solidFill>
                              <w14:schemeClr w14:val="bg1"/>
                            </w14:solidFill>
                          </w14:textFill>
                        </w:rPr>
                      </w:pPr>
                      <w:r>
                        <w:rPr>
                          <w:rFonts w:hint="eastAsia" w:ascii="微软雅黑" w:hAnsi="微软雅黑" w:eastAsia="微软雅黑" w:cs="微软雅黑"/>
                          <w:b/>
                          <w:color w:val="FFFFFF" w:themeColor="background1"/>
                          <w:sz w:val="96"/>
                          <w:szCs w:val="96"/>
                          <w14:textFill>
                            <w14:solidFill>
                              <w14:schemeClr w14:val="bg1"/>
                            </w14:solidFill>
                          </w14:textFill>
                        </w:rPr>
                        <w:t>2025年度</w:t>
                      </w:r>
                    </w:p>
                    <w:p w14:paraId="5FC9FCCC">
                      <w:pPr>
                        <w:pStyle w:val="7"/>
                        <w:spacing w:line="1400" w:lineRule="exact"/>
                        <w:jc w:val="left"/>
                        <w:rPr>
                          <w:rFonts w:ascii="微软雅黑" w:hAnsi="微软雅黑" w:eastAsia="微软雅黑" w:cs="微软雅黑"/>
                          <w:b/>
                          <w:color w:val="FFFFFF" w:themeColor="background1"/>
                          <w:sz w:val="96"/>
                          <w:szCs w:val="96"/>
                          <w14:textFill>
                            <w14:solidFill>
                              <w14:schemeClr w14:val="bg1"/>
                            </w14:solidFill>
                          </w14:textFill>
                        </w:rPr>
                      </w:pPr>
                      <w:r>
                        <w:rPr>
                          <w:rFonts w:hint="eastAsia" w:ascii="微软雅黑" w:hAnsi="微软雅黑" w:eastAsia="微软雅黑" w:cs="微软雅黑"/>
                          <w:b/>
                          <w:color w:val="FFFFFF" w:themeColor="background1"/>
                          <w:sz w:val="96"/>
                          <w:szCs w:val="96"/>
                          <w:lang w:eastAsia="zh-CN"/>
                          <w14:textFill>
                            <w14:solidFill>
                              <w14:schemeClr w14:val="bg1"/>
                            </w14:solidFill>
                          </w14:textFill>
                        </w:rPr>
                        <w:t>单位</w:t>
                      </w:r>
                      <w:r>
                        <w:rPr>
                          <w:rFonts w:hint="eastAsia" w:ascii="微软雅黑" w:hAnsi="微软雅黑" w:eastAsia="微软雅黑" w:cs="微软雅黑"/>
                          <w:b/>
                          <w:color w:val="FFFFFF" w:themeColor="background1"/>
                          <w:sz w:val="96"/>
                          <w:szCs w:val="96"/>
                          <w14:textFill>
                            <w14:solidFill>
                              <w14:schemeClr w14:val="bg1"/>
                            </w14:solidFill>
                          </w14:textFill>
                        </w:rPr>
                        <w:t>决算公开文本</w:t>
                      </w:r>
                    </w:p>
                  </w:txbxContent>
                </v:textbox>
              </v:rect>
            </w:pict>
          </mc:Fallback>
        </mc:AlternateContent>
      </w:r>
      <w:r>
        <w:rPr>
          <w:rFonts w:hint="default" w:ascii="Times New Roman" w:hAnsi="Times New Roman" w:cs="Times New Roman"/>
        </w:rPr>
        <w:pict>
          <v:shape id="文本框 61" o:spid="_x0000_s1028" o:spt="202" type="#_x0000_t202" style="position:absolute;left:0pt;margin-left:-73.35pt;margin-top:527.5pt;height:166.25pt;width:599.4pt;z-index:251659264;mso-width-relative:page;mso-height-relative:page;" filled="f" stroked="f" coordsize="21600,21600">
            <v:path/>
            <v:fill on="f" focussize="0,0"/>
            <v:stroke on="f" joinstyle="miter"/>
            <v:imagedata o:title=""/>
            <o:lock v:ext="edit"/>
            <v:textbox>
              <w:txbxContent>
                <w:p w14:paraId="7533B336">
                  <w:pPr>
                    <w:jc w:val="center"/>
                    <w:rPr>
                      <w:rFonts w:hint="eastAsia" w:ascii="楷体_GB2312" w:hAnsi="楷体_GB2312" w:eastAsia="楷体_GB2312" w:cs="楷体_GB2312"/>
                      <w:b/>
                      <w:bCs/>
                      <w:color w:val="0D0D0D" w:themeColor="text1" w:themeTint="F2"/>
                      <w:kern w:val="2"/>
                      <w:sz w:val="48"/>
                      <w:szCs w:val="56"/>
                      <w14:textFill>
                        <w14:solidFill>
                          <w14:schemeClr w14:val="tx1">
                            <w14:lumMod w14:val="95000"/>
                            <w14:lumOff w14:val="5000"/>
                          </w14:schemeClr>
                        </w14:solidFill>
                      </w14:textFill>
                    </w:rPr>
                  </w:pPr>
                  <w:r>
                    <w:rPr>
                      <w:rFonts w:hint="eastAsia" w:ascii="楷体_GB2312" w:hAnsi="楷体_GB2312" w:eastAsia="楷体_GB2312" w:cs="楷体_GB2312"/>
                      <w:b/>
                      <w:bCs/>
                      <w:color w:val="0D0D0D" w:themeColor="text1" w:themeTint="F2"/>
                      <w:kern w:val="2"/>
                      <w:sz w:val="48"/>
                      <w:szCs w:val="56"/>
                      <w14:textFill>
                        <w14:solidFill>
                          <w14:schemeClr w14:val="tx1">
                            <w14:lumMod w14:val="95000"/>
                            <w14:lumOff w14:val="5000"/>
                          </w14:schemeClr>
                        </w14:solidFill>
                      </w14:textFill>
                    </w:rPr>
                    <w:t>河北中医药大学第四附属医院</w:t>
                  </w:r>
                </w:p>
                <w:p w14:paraId="419C6711">
                  <w:pPr>
                    <w:jc w:val="center"/>
                    <w:rPr>
                      <w:rFonts w:hint="eastAsia" w:ascii="楷体_GB2312" w:hAnsi="楷体_GB2312" w:eastAsia="楷体_GB2312" w:cs="楷体_GB2312"/>
                      <w:b/>
                      <w:bCs/>
                      <w:color w:val="0D0D0D" w:themeColor="text1" w:themeTint="F2"/>
                      <w:kern w:val="2"/>
                      <w:sz w:val="48"/>
                      <w:szCs w:val="56"/>
                      <w14:textFill>
                        <w14:solidFill>
                          <w14:schemeClr w14:val="tx1">
                            <w14:lumMod w14:val="95000"/>
                            <w14:lumOff w14:val="5000"/>
                          </w14:schemeClr>
                        </w14:solidFill>
                      </w14:textFill>
                    </w:rPr>
                  </w:pPr>
                  <w:r>
                    <w:rPr>
                      <w:rFonts w:hint="eastAsia" w:ascii="楷体_GB2312" w:hAnsi="楷体_GB2312" w:eastAsia="楷体_GB2312" w:cs="楷体_GB2312"/>
                      <w:b/>
                      <w:bCs/>
                      <w:color w:val="0D0D0D" w:themeColor="text1" w:themeTint="F2"/>
                      <w:kern w:val="2"/>
                      <w:sz w:val="48"/>
                      <w:szCs w:val="56"/>
                      <w14:textFill>
                        <w14:solidFill>
                          <w14:schemeClr w14:val="tx1">
                            <w14:lumMod w14:val="95000"/>
                            <w14:lumOff w14:val="5000"/>
                          </w14:schemeClr>
                        </w14:solidFill>
                      </w14:textFill>
                    </w:rPr>
                    <w:t>预算代码：</w:t>
                  </w:r>
                  <w:r>
                    <w:rPr>
                      <w:rFonts w:hint="eastAsia" w:ascii="楷体_GB2312" w:hAnsi="楷体_GB2312" w:eastAsia="楷体_GB2312" w:cs="楷体_GB2312"/>
                      <w:b/>
                      <w:bCs/>
                      <w:color w:val="0D0D0D" w:themeColor="text1" w:themeTint="F2"/>
                      <w:kern w:val="2"/>
                      <w:sz w:val="48"/>
                      <w:szCs w:val="56"/>
                      <w:lang w:val="en-US" w:eastAsia="zh-CN"/>
                      <w14:textFill>
                        <w14:solidFill>
                          <w14:schemeClr w14:val="tx1">
                            <w14:lumMod w14:val="95000"/>
                            <w14:lumOff w14:val="5000"/>
                          </w14:schemeClr>
                        </w14:solidFill>
                      </w14:textFill>
                    </w:rPr>
                    <w:t>361048</w:t>
                  </w:r>
                </w:p>
                <w:p w14:paraId="4579CAAE">
                  <w:pPr>
                    <w:jc w:val="center"/>
                    <w:rPr>
                      <w:rFonts w:ascii="楷体_GB2312" w:hAnsi="楷体_GB2312" w:eastAsia="楷体_GB2312" w:cs="楷体_GB2312"/>
                      <w:b/>
                      <w:bCs/>
                      <w:color w:val="0D0D0D" w:themeColor="text1" w:themeTint="F2"/>
                      <w:sz w:val="48"/>
                      <w:szCs w:val="56"/>
                      <w14:textFill>
                        <w14:solidFill>
                          <w14:schemeClr w14:val="tx1">
                            <w14:lumMod w14:val="95000"/>
                            <w14:lumOff w14:val="5000"/>
                          </w14:schemeClr>
                        </w14:solidFill>
                      </w14:textFill>
                    </w:rPr>
                  </w:pPr>
                </w:p>
                <w:p w14:paraId="22C8588C">
                  <w:pPr>
                    <w:jc w:val="center"/>
                    <w:rPr>
                      <w:rFonts w:ascii="楷体_GB2312" w:hAnsi="楷体_GB2312" w:eastAsia="楷体_GB2312" w:cs="楷体_GB2312"/>
                      <w:b/>
                      <w:bCs/>
                      <w:color w:val="0D0D0D" w:themeColor="text1" w:themeTint="F2"/>
                      <w:sz w:val="48"/>
                      <w:szCs w:val="56"/>
                      <w14:textFill>
                        <w14:solidFill>
                          <w14:schemeClr w14:val="tx1">
                            <w14:lumMod w14:val="95000"/>
                            <w14:lumOff w14:val="5000"/>
                          </w14:schemeClr>
                        </w14:solidFill>
                      </w14:textFill>
                    </w:rPr>
                  </w:pPr>
                  <w:r>
                    <w:rPr>
                      <w:rFonts w:hint="eastAsia" w:ascii="楷体_GB2312" w:hAnsi="楷体_GB2312" w:eastAsia="楷体_GB2312" w:cs="楷体_GB2312"/>
                      <w:b/>
                      <w:bCs/>
                      <w:color w:val="0D0D0D" w:themeColor="text1" w:themeTint="F2"/>
                      <w:sz w:val="48"/>
                      <w:szCs w:val="56"/>
                      <w14:textFill>
                        <w14:solidFill>
                          <w14:schemeClr w14:val="tx1">
                            <w14:lumMod w14:val="95000"/>
                            <w14:lumOff w14:val="5000"/>
                          </w14:schemeClr>
                        </w14:solidFill>
                      </w14:textFill>
                    </w:rPr>
                    <w:t>二〇二六年八月</w:t>
                  </w:r>
                </w:p>
              </w:txbxContent>
            </v:textbox>
          </v:shape>
        </w:pict>
      </w:r>
    </w:p>
    <w:p w14:paraId="141157C2">
      <w:pPr>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目    录</w:t>
      </w:r>
    </w:p>
    <w:p w14:paraId="25CAED67">
      <w:pPr>
        <w:widowControl/>
        <w:spacing w:after="160" w:line="580" w:lineRule="exact"/>
        <w:ind w:firstLine="640" w:firstLineChars="200"/>
        <w:rPr>
          <w:rFonts w:hint="default" w:ascii="Times New Roman" w:hAnsi="Times New Roman" w:eastAsia="仿宋_GB2312" w:cs="Times New Roman"/>
          <w:sz w:val="24"/>
          <w:szCs w:val="32"/>
        </w:rPr>
      </w:pPr>
      <w:r>
        <w:rPr>
          <w:rFonts w:hint="default" w:ascii="Times New Roman" w:hAnsi="Times New Roman" w:eastAsia="黑体" w:cs="Times New Roman"/>
          <w:sz w:val="32"/>
          <w:szCs w:val="32"/>
        </w:rPr>
        <w:t xml:space="preserve">第一部分   </w:t>
      </w:r>
      <w:r>
        <w:rPr>
          <w:rFonts w:hint="default"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概况</w:t>
      </w:r>
    </w:p>
    <w:p w14:paraId="162D970C">
      <w:pPr>
        <w:widowControl/>
        <w:spacing w:after="160" w:line="580" w:lineRule="exact"/>
        <w:ind w:firstLine="1273" w:firstLineChars="39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职责</w:t>
      </w:r>
    </w:p>
    <w:p w14:paraId="1792B1C7">
      <w:pPr>
        <w:widowControl/>
        <w:spacing w:after="160" w:line="580" w:lineRule="exact"/>
        <w:ind w:firstLine="1273" w:firstLineChars="39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二、机构设置</w:t>
      </w:r>
    </w:p>
    <w:p w14:paraId="2C6DFB53">
      <w:pPr>
        <w:widowControl/>
        <w:spacing w:after="160"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第二部分   2025年度</w:t>
      </w:r>
      <w:r>
        <w:rPr>
          <w:rFonts w:hint="default"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决算报表</w:t>
      </w:r>
    </w:p>
    <w:p w14:paraId="193B6C4E">
      <w:pPr>
        <w:widowControl/>
        <w:spacing w:after="160" w:line="580" w:lineRule="exact"/>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一、收入支出决算总表</w:t>
      </w:r>
    </w:p>
    <w:p w14:paraId="05EA24DE">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二、收入决算表</w:t>
      </w:r>
    </w:p>
    <w:p w14:paraId="51D6B59E">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三、支出决算表</w:t>
      </w:r>
    </w:p>
    <w:p w14:paraId="417B34AB">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四、财政拨款收入支出决算总表</w:t>
      </w:r>
    </w:p>
    <w:p w14:paraId="40C78CC7">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五、一般公共预算财政拨款支出决算表</w:t>
      </w:r>
    </w:p>
    <w:p w14:paraId="7FC12078">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六、一般公共预算财政拨款基本支出决算明细表</w:t>
      </w:r>
    </w:p>
    <w:p w14:paraId="45FA1AAF">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七、政府性基金预算财政拨款收入支出决算表</w:t>
      </w:r>
    </w:p>
    <w:p w14:paraId="16B3128A">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八、国有资本经营预算财政拨款支出决算表</w:t>
      </w:r>
    </w:p>
    <w:p w14:paraId="3409DFEC">
      <w:pPr>
        <w:widowControl/>
        <w:spacing w:after="160" w:line="580" w:lineRule="exact"/>
        <w:ind w:left="640" w:firstLine="640" w:firstLineChars="200"/>
        <w:rPr>
          <w:rFonts w:hint="default" w:ascii="Times New Roman" w:hAnsi="Times New Roman" w:eastAsia="仿宋_GB2312" w:cs="Times New Roman"/>
          <w:sz w:val="20"/>
          <w:szCs w:val="32"/>
        </w:rPr>
      </w:pPr>
      <w:r>
        <w:rPr>
          <w:rFonts w:hint="default" w:ascii="Times New Roman" w:hAnsi="Times New Roman" w:eastAsia="仿宋_GB2312" w:cs="Times New Roman"/>
          <w:sz w:val="32"/>
          <w:szCs w:val="32"/>
        </w:rPr>
        <w:t>九、财政拨款“三公”经费支出决算表</w:t>
      </w:r>
    </w:p>
    <w:p w14:paraId="467BB809">
      <w:pPr>
        <w:widowControl/>
        <w:spacing w:after="160"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第三部分   2025年度</w:t>
      </w:r>
      <w:r>
        <w:rPr>
          <w:rFonts w:hint="default"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决算情况说明</w:t>
      </w:r>
    </w:p>
    <w:p w14:paraId="76E90C02">
      <w:pPr>
        <w:widowControl/>
        <w:spacing w:after="160" w:line="580" w:lineRule="exact"/>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一、收入支出决算总体情况说明</w:t>
      </w:r>
    </w:p>
    <w:p w14:paraId="67BF5FE2">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二、收入决算情况说明</w:t>
      </w:r>
    </w:p>
    <w:p w14:paraId="400E27A2">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三、支出决算情况说明</w:t>
      </w:r>
    </w:p>
    <w:p w14:paraId="69618857">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四、财政拨款收入支出决算总体情况说明</w:t>
      </w:r>
    </w:p>
    <w:p w14:paraId="3B1946D8">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五、财政拨款“三公” 经费支出决算情况说明</w:t>
      </w:r>
    </w:p>
    <w:p w14:paraId="68530D04">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六、机关运行经费支出说明</w:t>
      </w:r>
    </w:p>
    <w:p w14:paraId="22676249">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七、政府采购支出说明</w:t>
      </w:r>
    </w:p>
    <w:p w14:paraId="6DB96388">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八、国有资产占用情况说明</w:t>
      </w:r>
    </w:p>
    <w:p w14:paraId="74F6C655">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九、关于2025年度绩效评价情况的说明</w:t>
      </w:r>
    </w:p>
    <w:p w14:paraId="42DA89F1">
      <w:pPr>
        <w:widowControl/>
        <w:spacing w:after="160" w:line="580" w:lineRule="exact"/>
        <w:ind w:left="6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十、其他需要说明的情况</w:t>
      </w:r>
    </w:p>
    <w:p w14:paraId="40412057">
      <w:pPr>
        <w:widowControl/>
        <w:spacing w:after="160"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第四部分  名词解释</w:t>
      </w:r>
    </w:p>
    <w:p w14:paraId="0B14A0D9">
      <w:pPr>
        <w:widowControl/>
        <w:spacing w:after="160" w:line="580" w:lineRule="exact"/>
        <w:ind w:firstLine="640" w:firstLineChars="200"/>
        <w:rPr>
          <w:rFonts w:hint="default" w:ascii="Times New Roman" w:hAnsi="Times New Roman" w:eastAsia="黑体" w:cs="Times New Roman"/>
          <w:sz w:val="32"/>
          <w:szCs w:val="32"/>
        </w:rPr>
        <w:sectPr>
          <w:headerReference r:id="rId5" w:type="first"/>
          <w:footerReference r:id="rId7" w:type="first"/>
          <w:headerReference r:id="rId4" w:type="default"/>
          <w:footerReference r:id="rId6" w:type="default"/>
          <w:pgSz w:w="11906" w:h="16838"/>
          <w:pgMar w:top="2098" w:right="1418" w:bottom="1871" w:left="1418" w:header="851" w:footer="992" w:gutter="0"/>
          <w:cols w:space="0" w:num="1"/>
          <w:docGrid w:type="lines" w:linePitch="312" w:charSpace="0"/>
        </w:sectPr>
      </w:pPr>
    </w:p>
    <w:p w14:paraId="76EF152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4EBE1C6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0C32C63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29C7371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15F1EC4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72A91BD0">
      <w:pPr>
        <w:widowControl/>
        <w:jc w:val="cente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第一部分  </w:t>
      </w:r>
      <w:r>
        <w:rPr>
          <w:rFonts w:hint="default" w:ascii="Times New Roman" w:hAnsi="Times New Roman" w:eastAsia="黑体" w:cs="Times New Roman"/>
          <w:color w:val="000000" w:themeColor="text1"/>
          <w:sz w:val="44"/>
          <w:szCs w:val="44"/>
          <w:lang w:eastAsia="zh-CN"/>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单位</w:t>
      </w: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概况</w:t>
      </w:r>
    </w:p>
    <w:p w14:paraId="23735A2E">
      <w:pP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br w:type="page"/>
      </w:r>
    </w:p>
    <w:p w14:paraId="066AFF49">
      <w:pPr>
        <w:widowControl/>
        <w:ind w:firstLine="640" w:firstLineChars="200"/>
        <w:jc w:val="left"/>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default" w:ascii="Times New Roman" w:hAnsi="Times New Roman" w:eastAsia="黑体" w:cs="Times New Roman"/>
          <w:kern w:val="0"/>
          <w:sz w:val="32"/>
          <w:szCs w:val="32"/>
        </w:rPr>
        <w:t>一、</w:t>
      </w:r>
      <w:r>
        <w:rPr>
          <w:rFonts w:hint="default" w:ascii="Times New Roman" w:hAnsi="Times New Roman" w:eastAsia="黑体" w:cs="Times New Roman"/>
          <w:kern w:val="0"/>
          <w:sz w:val="32"/>
          <w:szCs w:val="32"/>
          <w:lang w:eastAsia="zh-CN"/>
        </w:rPr>
        <w:t>单位</w:t>
      </w:r>
      <w:r>
        <w:rPr>
          <w:rFonts w:hint="default" w:ascii="Times New Roman" w:hAnsi="Times New Roman" w:eastAsia="黑体" w:cs="Times New Roman"/>
          <w:kern w:val="0"/>
          <w:sz w:val="32"/>
          <w:szCs w:val="32"/>
        </w:rPr>
        <w:t>职责</w:t>
      </w:r>
    </w:p>
    <w:p w14:paraId="1945D7BF">
      <w:pPr>
        <w:widowControl/>
        <w:spacing w:line="58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承担中医医学教学、科研、预防、康复及医疗服务。</w:t>
      </w:r>
    </w:p>
    <w:p w14:paraId="43772E4A">
      <w:pPr>
        <w:widowControl/>
        <w:spacing w:line="580" w:lineRule="exact"/>
        <w:ind w:firstLine="640" w:firstLineChars="200"/>
        <w:rPr>
          <w:rFonts w:hint="default" w:ascii="Times New Roman" w:hAnsi="Times New Roman" w:eastAsia="仿宋_GB2312" w:cs="Times New Roman"/>
          <w:kern w:val="0"/>
          <w:sz w:val="32"/>
          <w:szCs w:val="32"/>
          <w:highlight w:val="yellow"/>
        </w:rPr>
      </w:pPr>
      <w:r>
        <w:rPr>
          <w:rFonts w:hint="default" w:ascii="Times New Roman" w:hAnsi="Times New Roman" w:eastAsia="黑体" w:cs="Times New Roman"/>
          <w:kern w:val="0"/>
          <w:sz w:val="32"/>
          <w:szCs w:val="32"/>
        </w:rPr>
        <w:t>二、机构设置</w:t>
      </w:r>
    </w:p>
    <w:p w14:paraId="0217A6FF">
      <w:pPr>
        <w:spacing w:line="58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从决算编报单位构成看，纳入2025年度本</w:t>
      </w:r>
      <w:r>
        <w:rPr>
          <w:rFonts w:hint="default" w:ascii="Times New Roman" w:hAnsi="Times New Roman" w:eastAsia="仿宋_GB2312" w:cs="Times New Roman"/>
          <w:kern w:val="0"/>
          <w:sz w:val="32"/>
          <w:szCs w:val="32"/>
          <w:lang w:eastAsia="zh-CN"/>
        </w:rPr>
        <w:t>单位</w:t>
      </w:r>
      <w:r>
        <w:rPr>
          <w:rFonts w:hint="default" w:ascii="Times New Roman" w:hAnsi="Times New Roman" w:eastAsia="仿宋_GB2312" w:cs="Times New Roman"/>
          <w:kern w:val="0"/>
          <w:sz w:val="32"/>
          <w:szCs w:val="32"/>
        </w:rPr>
        <w:t>决算汇编范围的独立核算单位（以下简称“单位”）共</w:t>
      </w:r>
      <w:r>
        <w:rPr>
          <w:rFonts w:hint="eastAsia"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rPr>
        <w:t>个，具体情况如下：</w:t>
      </w:r>
    </w:p>
    <w:tbl>
      <w:tblPr>
        <w:tblStyle w:val="9"/>
        <w:tblpPr w:leftFromText="180" w:rightFromText="180" w:vertAnchor="text" w:horzAnchor="page" w:tblpXSpec="center" w:tblpY="10"/>
        <w:tblOverlap w:val="never"/>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485"/>
        <w:gridCol w:w="2445"/>
        <w:gridCol w:w="2665"/>
      </w:tblGrid>
      <w:tr w14:paraId="6632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14:paraId="30421FC5">
            <w:pPr>
              <w:spacing w:line="560" w:lineRule="exact"/>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序号</w:t>
            </w:r>
          </w:p>
        </w:tc>
        <w:tc>
          <w:tcPr>
            <w:tcW w:w="3485" w:type="dxa"/>
            <w:vAlign w:val="center"/>
          </w:tcPr>
          <w:p w14:paraId="7A6FC704">
            <w:pPr>
              <w:spacing w:line="560" w:lineRule="exact"/>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单位名称</w:t>
            </w:r>
          </w:p>
        </w:tc>
        <w:tc>
          <w:tcPr>
            <w:tcW w:w="2445" w:type="dxa"/>
            <w:vAlign w:val="center"/>
          </w:tcPr>
          <w:p w14:paraId="03A42A4D">
            <w:pPr>
              <w:spacing w:line="560" w:lineRule="exact"/>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单位基本性质</w:t>
            </w:r>
          </w:p>
        </w:tc>
        <w:tc>
          <w:tcPr>
            <w:tcW w:w="2665" w:type="dxa"/>
            <w:vAlign w:val="center"/>
          </w:tcPr>
          <w:p w14:paraId="596D8747">
            <w:pPr>
              <w:spacing w:line="560" w:lineRule="exact"/>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经费形式</w:t>
            </w:r>
          </w:p>
        </w:tc>
      </w:tr>
      <w:tr w14:paraId="47F0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vAlign w:val="center"/>
          </w:tcPr>
          <w:p w14:paraId="2CE61BB9">
            <w:pPr>
              <w:spacing w:line="56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w:t>
            </w:r>
          </w:p>
        </w:tc>
        <w:tc>
          <w:tcPr>
            <w:tcW w:w="3485" w:type="dxa"/>
            <w:vAlign w:val="center"/>
          </w:tcPr>
          <w:p w14:paraId="16E7D2BE">
            <w:pPr>
              <w:spacing w:line="560" w:lineRule="exact"/>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河北中医药大学第四附属医院</w:t>
            </w:r>
          </w:p>
        </w:tc>
        <w:tc>
          <w:tcPr>
            <w:tcW w:w="2445" w:type="dxa"/>
            <w:vAlign w:val="center"/>
          </w:tcPr>
          <w:p w14:paraId="56559B81">
            <w:pPr>
              <w:spacing w:line="560" w:lineRule="exact"/>
              <w:jc w:val="center"/>
              <w:rPr>
                <w:rFonts w:hint="default" w:ascii="Times New Roman" w:hAnsi="Times New Roman" w:eastAsia="仿宋_GB2312" w:cs="Times New Roman"/>
                <w:kern w:val="0"/>
                <w:sz w:val="28"/>
                <w:szCs w:val="28"/>
                <w:lang w:val="en-US" w:eastAsia="zh-CN"/>
              </w:rPr>
            </w:pPr>
            <w:r>
              <w:rPr>
                <w:rFonts w:hint="default" w:ascii="Times New Roman" w:hAnsi="Times New Roman" w:eastAsia="仿宋_GB2312" w:cs="Times New Roman"/>
                <w:kern w:val="0"/>
                <w:sz w:val="28"/>
                <w:szCs w:val="28"/>
                <w:lang w:val="en-US" w:eastAsia="zh-CN"/>
              </w:rPr>
              <w:t>公益</w:t>
            </w:r>
            <w:r>
              <w:rPr>
                <w:rFonts w:hint="eastAsia" w:ascii="Times New Roman" w:hAnsi="Times New Roman" w:eastAsia="仿宋_GB2312" w:cs="Times New Roman"/>
                <w:kern w:val="0"/>
                <w:sz w:val="28"/>
                <w:szCs w:val="28"/>
                <w:lang w:val="en-US" w:eastAsia="zh-CN"/>
              </w:rPr>
              <w:t>二</w:t>
            </w:r>
            <w:r>
              <w:rPr>
                <w:rFonts w:hint="default" w:ascii="Times New Roman" w:hAnsi="Times New Roman" w:eastAsia="仿宋_GB2312" w:cs="Times New Roman"/>
                <w:kern w:val="0"/>
                <w:sz w:val="28"/>
                <w:szCs w:val="28"/>
                <w:lang w:val="en-US" w:eastAsia="zh-CN"/>
              </w:rPr>
              <w:t>类事业单位</w:t>
            </w:r>
          </w:p>
        </w:tc>
        <w:tc>
          <w:tcPr>
            <w:tcW w:w="2665" w:type="dxa"/>
            <w:vAlign w:val="center"/>
          </w:tcPr>
          <w:p w14:paraId="347C5BCC">
            <w:pPr>
              <w:spacing w:line="560" w:lineRule="exact"/>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定额</w:t>
            </w:r>
          </w:p>
        </w:tc>
      </w:tr>
    </w:tbl>
    <w:p w14:paraId="4965081F">
      <w:pPr>
        <w:widowControl/>
        <w:spacing w:after="160" w:line="580" w:lineRule="exact"/>
        <w:ind w:firstLine="640" w:firstLineChars="200"/>
        <w:rPr>
          <w:rFonts w:hint="default" w:ascii="Times New Roman" w:hAnsi="Times New Roman" w:eastAsia="黑体" w:cs="Times New Roman"/>
          <w:sz w:val="32"/>
          <w:szCs w:val="32"/>
          <w:highlight w:val="green"/>
        </w:rPr>
      </w:pPr>
    </w:p>
    <w:p w14:paraId="385E0EE9">
      <w:pPr>
        <w:widowControl/>
        <w:spacing w:after="160"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14:paraId="2C0147B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36EA12B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4E4CDA1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1F863B5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129DCF8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59566C99">
      <w:pPr>
        <w:widowControl/>
        <w:spacing w:after="160" w:line="580" w:lineRule="exact"/>
        <w:jc w:val="cente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第二部分2025年度</w:t>
      </w:r>
      <w:r>
        <w:rPr>
          <w:rFonts w:hint="default" w:ascii="Times New Roman" w:hAnsi="Times New Roman" w:eastAsia="黑体" w:cs="Times New Roman"/>
          <w:color w:val="000000" w:themeColor="text1"/>
          <w:sz w:val="44"/>
          <w:szCs w:val="44"/>
          <w:lang w:eastAsia="zh-CN"/>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单位</w:t>
      </w: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决算表</w:t>
      </w:r>
    </w:p>
    <w:p w14:paraId="523C45A8">
      <w:pP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br w:type="page"/>
      </w:r>
    </w:p>
    <w:p w14:paraId="0EC6C1E4">
      <w:pPr>
        <w:pStyle w:val="23"/>
        <w:widowControl/>
        <w:spacing w:line="500" w:lineRule="exact"/>
        <w:ind w:left="1760" w:firstLine="1807" w:firstLineChars="500"/>
        <w:textAlignment w:val="center"/>
        <w:rPr>
          <w:rFonts w:hint="default" w:ascii="Times New Roman" w:hAnsi="Times New Roman" w:eastAsia="仿宋_GB2312" w:cs="Times New Roman"/>
          <w:b/>
          <w:bCs/>
          <w:sz w:val="36"/>
          <w:szCs w:val="36"/>
        </w:rPr>
        <w:sectPr>
          <w:headerReference r:id="rId8" w:type="default"/>
          <w:pgSz w:w="11906" w:h="16838"/>
          <w:pgMar w:top="1474" w:right="1474" w:bottom="1474" w:left="1474" w:header="851" w:footer="992" w:gutter="0"/>
          <w:cols w:space="0" w:num="1"/>
          <w:docGrid w:type="lines" w:linePitch="312" w:charSpace="0"/>
        </w:sectPr>
      </w:pPr>
    </w:p>
    <w:tbl>
      <w:tblPr>
        <w:tblStyle w:val="9"/>
        <w:tblW w:w="5000" w:type="pct"/>
        <w:jc w:val="center"/>
        <w:tblLayout w:type="autofit"/>
        <w:tblCellMar>
          <w:top w:w="15" w:type="dxa"/>
          <w:left w:w="15" w:type="dxa"/>
          <w:bottom w:w="15" w:type="dxa"/>
          <w:right w:w="15" w:type="dxa"/>
        </w:tblCellMar>
      </w:tblPr>
      <w:tblGrid>
        <w:gridCol w:w="4732"/>
        <w:gridCol w:w="727"/>
        <w:gridCol w:w="36"/>
        <w:gridCol w:w="1796"/>
        <w:gridCol w:w="1100"/>
        <w:gridCol w:w="3349"/>
        <w:gridCol w:w="677"/>
        <w:gridCol w:w="1503"/>
      </w:tblGrid>
      <w:tr w14:paraId="2A29FA2B">
        <w:tblPrEx>
          <w:tblCellMar>
            <w:top w:w="15" w:type="dxa"/>
            <w:left w:w="15" w:type="dxa"/>
            <w:bottom w:w="15" w:type="dxa"/>
            <w:right w:w="15" w:type="dxa"/>
          </w:tblCellMar>
        </w:tblPrEx>
        <w:trPr>
          <w:trHeight w:val="0" w:hRule="atLeast"/>
          <w:tblHeader/>
          <w:jc w:val="center"/>
        </w:trPr>
        <w:tc>
          <w:tcPr>
            <w:tcW w:w="5000" w:type="pct"/>
            <w:gridSpan w:val="8"/>
            <w:tcBorders>
              <w:top w:val="nil"/>
              <w:left w:val="nil"/>
              <w:bottom w:val="nil"/>
              <w:right w:val="nil"/>
            </w:tcBorders>
            <w:shd w:val="clear" w:color="auto" w:fill="FFFFFF"/>
            <w:vAlign w:val="bottom"/>
          </w:tcPr>
          <w:p w14:paraId="0588008E">
            <w:pPr>
              <w:pStyle w:val="23"/>
              <w:keepNext w:val="0"/>
              <w:keepLines w:val="0"/>
              <w:pageBreakBefore w:val="0"/>
              <w:widowControl/>
              <w:kinsoku/>
              <w:wordWrap/>
              <w:overflowPunct/>
              <w:topLinePunct w:val="0"/>
              <w:autoSpaceDE/>
              <w:autoSpaceDN/>
              <w:bidi w:val="0"/>
              <w:adjustRightInd/>
              <w:snapToGrid/>
              <w:spacing w:line="500" w:lineRule="exact"/>
              <w:ind w:left="0" w:firstLine="0" w:firstLineChars="0"/>
              <w:jc w:val="center"/>
              <w:textAlignment w:val="cente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6"/>
                <w:szCs w:val="36"/>
              </w:rPr>
              <w:t>收入支出决算总表</w:t>
            </w:r>
          </w:p>
        </w:tc>
      </w:tr>
      <w:tr w14:paraId="3B538458">
        <w:tblPrEx>
          <w:tblCellMar>
            <w:top w:w="15" w:type="dxa"/>
            <w:left w:w="15" w:type="dxa"/>
            <w:bottom w:w="15" w:type="dxa"/>
            <w:right w:w="15" w:type="dxa"/>
          </w:tblCellMar>
        </w:tblPrEx>
        <w:trPr>
          <w:trHeight w:val="0" w:hRule="atLeast"/>
          <w:tblHeader/>
          <w:jc w:val="center"/>
        </w:trPr>
        <w:tc>
          <w:tcPr>
            <w:tcW w:w="5000" w:type="pct"/>
            <w:gridSpan w:val="8"/>
            <w:tcBorders>
              <w:top w:val="nil"/>
              <w:left w:val="nil"/>
              <w:bottom w:val="nil"/>
              <w:right w:val="nil"/>
            </w:tcBorders>
            <w:shd w:val="clear" w:color="auto" w:fill="FFFFFF"/>
            <w:vAlign w:val="center"/>
          </w:tcPr>
          <w:p w14:paraId="315A3C41">
            <w:pPr>
              <w:widowControl/>
              <w:jc w:val="right"/>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color w:val="000000"/>
                <w:kern w:val="0"/>
                <w:sz w:val="20"/>
                <w:szCs w:val="20"/>
                <w:lang w:bidi="ar"/>
              </w:rPr>
              <w:t>公开01表</w:t>
            </w:r>
          </w:p>
        </w:tc>
      </w:tr>
      <w:tr w14:paraId="122FC050">
        <w:tblPrEx>
          <w:tblCellMar>
            <w:top w:w="15" w:type="dxa"/>
            <w:left w:w="15" w:type="dxa"/>
            <w:bottom w:w="15" w:type="dxa"/>
            <w:right w:w="15" w:type="dxa"/>
          </w:tblCellMar>
        </w:tblPrEx>
        <w:trPr>
          <w:trHeight w:val="0" w:hRule="atLeast"/>
          <w:tblHeader/>
          <w:jc w:val="center"/>
        </w:trPr>
        <w:tc>
          <w:tcPr>
            <w:tcW w:w="1974" w:type="pct"/>
            <w:gridSpan w:val="3"/>
            <w:tcBorders>
              <w:top w:val="nil"/>
              <w:left w:val="nil"/>
              <w:bottom w:val="single" w:color="auto" w:sz="4" w:space="0"/>
              <w:right w:val="nil"/>
            </w:tcBorders>
            <w:shd w:val="clear" w:color="auto" w:fill="FFFFFF"/>
            <w:vAlign w:val="center"/>
          </w:tcPr>
          <w:p w14:paraId="20A749C5">
            <w:pPr>
              <w:widowControl/>
              <w:jc w:val="left"/>
              <w:textAlignment w:val="center"/>
              <w:rPr>
                <w:rFonts w:hint="default" w:ascii="Times New Roman" w:hAnsi="Times New Roman" w:eastAsia="仿宋_GB2312" w:cs="Times New Roman"/>
                <w:color w:val="000000"/>
                <w:kern w:val="0"/>
                <w:sz w:val="20"/>
                <w:szCs w:val="20"/>
                <w:lang w:val="en-US" w:eastAsia="zh-CN" w:bidi="ar"/>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1040" w:type="pct"/>
            <w:gridSpan w:val="2"/>
            <w:tcBorders>
              <w:top w:val="nil"/>
              <w:left w:val="nil"/>
              <w:bottom w:val="single" w:color="auto" w:sz="4" w:space="0"/>
              <w:right w:val="nil"/>
            </w:tcBorders>
            <w:shd w:val="clear" w:color="auto" w:fill="FFFFFF"/>
            <w:vAlign w:val="center"/>
          </w:tcPr>
          <w:p w14:paraId="627F93D4">
            <w:pPr>
              <w:widowControl/>
              <w:jc w:val="center"/>
              <w:textAlignment w:val="cente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2025年度</w:t>
            </w:r>
          </w:p>
        </w:tc>
        <w:tc>
          <w:tcPr>
            <w:tcW w:w="1984" w:type="pct"/>
            <w:gridSpan w:val="3"/>
            <w:tcBorders>
              <w:top w:val="nil"/>
              <w:left w:val="nil"/>
              <w:bottom w:val="single" w:color="auto" w:sz="4" w:space="0"/>
              <w:right w:val="nil"/>
            </w:tcBorders>
            <w:shd w:val="clear" w:color="auto" w:fill="FFFFFF"/>
            <w:vAlign w:val="center"/>
          </w:tcPr>
          <w:p w14:paraId="6151DA98">
            <w:pPr>
              <w:widowControl/>
              <w:jc w:val="right"/>
              <w:textAlignment w:val="cente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单位：万元</w:t>
            </w:r>
          </w:p>
        </w:tc>
      </w:tr>
      <w:tr w14:paraId="22F7A1D8">
        <w:tblPrEx>
          <w:tblCellMar>
            <w:top w:w="15" w:type="dxa"/>
            <w:left w:w="15" w:type="dxa"/>
            <w:bottom w:w="15" w:type="dxa"/>
            <w:right w:w="15" w:type="dxa"/>
          </w:tblCellMar>
        </w:tblPrEx>
        <w:trPr>
          <w:trHeight w:val="0" w:hRule="atLeast"/>
          <w:tblHeader/>
          <w:jc w:val="center"/>
        </w:trPr>
        <w:tc>
          <w:tcPr>
            <w:tcW w:w="2619"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67FF2A4">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收入</w:t>
            </w:r>
          </w:p>
        </w:tc>
        <w:tc>
          <w:tcPr>
            <w:tcW w:w="2380"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E4529C3">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支出</w:t>
            </w:r>
          </w:p>
        </w:tc>
      </w:tr>
      <w:tr w14:paraId="65193E34">
        <w:tblPrEx>
          <w:tblCellMar>
            <w:top w:w="15" w:type="dxa"/>
            <w:left w:w="15" w:type="dxa"/>
            <w:bottom w:w="15" w:type="dxa"/>
            <w:right w:w="15" w:type="dxa"/>
          </w:tblCellMar>
        </w:tblPrEx>
        <w:trPr>
          <w:trHeight w:val="0" w:hRule="atLeast"/>
          <w:tblHeader/>
          <w:jc w:val="center"/>
        </w:trPr>
        <w:tc>
          <w:tcPr>
            <w:tcW w:w="1700" w:type="pct"/>
            <w:tcBorders>
              <w:top w:val="single" w:color="auto" w:sz="4" w:space="0"/>
              <w:left w:val="single" w:color="auto" w:sz="4" w:space="0"/>
              <w:bottom w:val="single" w:color="auto" w:sz="4" w:space="0"/>
              <w:right w:val="single" w:color="auto" w:sz="4" w:space="0"/>
            </w:tcBorders>
            <w:shd w:val="clear" w:color="auto" w:fill="FFFFFF"/>
            <w:vAlign w:val="center"/>
          </w:tcPr>
          <w:p w14:paraId="53784AD1">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项    目</w:t>
            </w:r>
          </w:p>
        </w:tc>
        <w:tc>
          <w:tcPr>
            <w:tcW w:w="261" w:type="pct"/>
            <w:tcBorders>
              <w:top w:val="single" w:color="auto" w:sz="4" w:space="0"/>
              <w:left w:val="single" w:color="auto" w:sz="4" w:space="0"/>
              <w:bottom w:val="single" w:color="auto" w:sz="4" w:space="0"/>
              <w:right w:val="single" w:color="auto" w:sz="4" w:space="0"/>
            </w:tcBorders>
            <w:shd w:val="clear" w:color="auto" w:fill="FFFFFF"/>
            <w:vAlign w:val="center"/>
          </w:tcPr>
          <w:p w14:paraId="1D3A8291">
            <w:pPr>
              <w:widowControl/>
              <w:jc w:val="center"/>
              <w:textAlignment w:val="center"/>
              <w:rPr>
                <w:rFonts w:hint="default" w:ascii="Times New Roman" w:hAnsi="Times New Roman" w:eastAsia="仿宋_GB2312" w:cs="Times New Roman"/>
                <w:b/>
                <w:bCs/>
                <w:color w:val="000000"/>
                <w:sz w:val="22"/>
                <w:szCs w:val="20"/>
              </w:rPr>
            </w:pPr>
            <w:r>
              <w:rPr>
                <w:rFonts w:hint="default" w:ascii="Times New Roman" w:hAnsi="Times New Roman" w:eastAsia="仿宋_GB2312" w:cs="Times New Roman"/>
                <w:b/>
                <w:bCs/>
                <w:color w:val="000000"/>
                <w:kern w:val="0"/>
                <w:sz w:val="22"/>
                <w:szCs w:val="20"/>
                <w:lang w:bidi="ar"/>
              </w:rPr>
              <w:t>行次</w:t>
            </w:r>
          </w:p>
        </w:tc>
        <w:tc>
          <w:tcPr>
            <w:tcW w:w="65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2D26D1">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决算数</w:t>
            </w:r>
          </w:p>
        </w:tc>
        <w:tc>
          <w:tcPr>
            <w:tcW w:w="159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9EF8A4">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项    目</w:t>
            </w:r>
          </w:p>
        </w:tc>
        <w:tc>
          <w:tcPr>
            <w:tcW w:w="243" w:type="pct"/>
            <w:tcBorders>
              <w:top w:val="single" w:color="auto" w:sz="4" w:space="0"/>
              <w:left w:val="single" w:color="auto" w:sz="4" w:space="0"/>
              <w:bottom w:val="single" w:color="auto" w:sz="4" w:space="0"/>
              <w:right w:val="single" w:color="auto" w:sz="4" w:space="0"/>
            </w:tcBorders>
            <w:shd w:val="clear" w:color="auto" w:fill="FFFFFF"/>
            <w:vAlign w:val="center"/>
          </w:tcPr>
          <w:p w14:paraId="7A6349F2">
            <w:pPr>
              <w:widowControl/>
              <w:jc w:val="center"/>
              <w:textAlignment w:val="center"/>
              <w:rPr>
                <w:rFonts w:hint="default" w:ascii="Times New Roman" w:hAnsi="Times New Roman" w:eastAsia="仿宋_GB2312" w:cs="Times New Roman"/>
                <w:b/>
                <w:bCs/>
                <w:color w:val="000000"/>
                <w:sz w:val="22"/>
                <w:szCs w:val="20"/>
              </w:rPr>
            </w:pPr>
            <w:r>
              <w:rPr>
                <w:rFonts w:hint="default" w:ascii="Times New Roman" w:hAnsi="Times New Roman" w:eastAsia="仿宋_GB2312" w:cs="Times New Roman"/>
                <w:b/>
                <w:bCs/>
                <w:color w:val="000000"/>
                <w:kern w:val="0"/>
                <w:sz w:val="22"/>
                <w:szCs w:val="20"/>
                <w:lang w:bidi="ar"/>
              </w:rPr>
              <w:t>行次</w:t>
            </w:r>
          </w:p>
        </w:tc>
        <w:tc>
          <w:tcPr>
            <w:tcW w:w="538" w:type="pct"/>
            <w:tcBorders>
              <w:top w:val="single" w:color="auto" w:sz="4" w:space="0"/>
              <w:left w:val="single" w:color="auto" w:sz="4" w:space="0"/>
              <w:bottom w:val="single" w:color="auto" w:sz="4" w:space="0"/>
              <w:right w:val="single" w:color="auto" w:sz="4" w:space="0"/>
            </w:tcBorders>
            <w:shd w:val="clear" w:color="auto" w:fill="FFFFFF"/>
            <w:vAlign w:val="center"/>
          </w:tcPr>
          <w:p w14:paraId="5383E721">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决算数</w:t>
            </w:r>
          </w:p>
        </w:tc>
      </w:tr>
      <w:tr w14:paraId="02F0B751">
        <w:tblPrEx>
          <w:tblCellMar>
            <w:top w:w="15" w:type="dxa"/>
            <w:left w:w="15" w:type="dxa"/>
            <w:bottom w:w="15" w:type="dxa"/>
            <w:right w:w="15" w:type="dxa"/>
          </w:tblCellMar>
        </w:tblPrEx>
        <w:trPr>
          <w:trHeight w:val="0" w:hRule="atLeast"/>
          <w:tblHeader/>
          <w:jc w:val="center"/>
        </w:trPr>
        <w:tc>
          <w:tcPr>
            <w:tcW w:w="1700" w:type="pct"/>
            <w:tcBorders>
              <w:top w:val="single" w:color="auto" w:sz="4" w:space="0"/>
              <w:left w:val="single" w:color="auto" w:sz="4" w:space="0"/>
              <w:bottom w:val="single" w:color="auto" w:sz="4" w:space="0"/>
              <w:right w:val="single" w:color="auto" w:sz="4" w:space="0"/>
            </w:tcBorders>
            <w:shd w:val="clear" w:color="auto" w:fill="FFFFFF"/>
            <w:vAlign w:val="center"/>
          </w:tcPr>
          <w:p w14:paraId="76D15030">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栏    次</w:t>
            </w:r>
          </w:p>
        </w:tc>
        <w:tc>
          <w:tcPr>
            <w:tcW w:w="261" w:type="pct"/>
            <w:tcBorders>
              <w:top w:val="single" w:color="auto" w:sz="4" w:space="0"/>
              <w:left w:val="single" w:color="auto" w:sz="4" w:space="0"/>
              <w:bottom w:val="single" w:color="auto" w:sz="4" w:space="0"/>
              <w:right w:val="single" w:color="auto" w:sz="4" w:space="0"/>
            </w:tcBorders>
            <w:shd w:val="clear" w:color="auto" w:fill="FFFFFF"/>
            <w:vAlign w:val="center"/>
          </w:tcPr>
          <w:p w14:paraId="13C8206A">
            <w:pPr>
              <w:jc w:val="center"/>
              <w:rPr>
                <w:rFonts w:hint="default" w:ascii="Times New Roman" w:hAnsi="Times New Roman" w:eastAsia="仿宋_GB2312" w:cs="Times New Roman"/>
                <w:color w:val="000000"/>
                <w:sz w:val="22"/>
              </w:rPr>
            </w:pPr>
          </w:p>
        </w:tc>
        <w:tc>
          <w:tcPr>
            <w:tcW w:w="65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F2F56E">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1</w:t>
            </w:r>
          </w:p>
        </w:tc>
        <w:tc>
          <w:tcPr>
            <w:tcW w:w="159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37365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栏    次</w:t>
            </w:r>
          </w:p>
        </w:tc>
        <w:tc>
          <w:tcPr>
            <w:tcW w:w="243" w:type="pct"/>
            <w:tcBorders>
              <w:top w:val="single" w:color="auto" w:sz="4" w:space="0"/>
              <w:left w:val="single" w:color="auto" w:sz="4" w:space="0"/>
              <w:bottom w:val="single" w:color="auto" w:sz="4" w:space="0"/>
              <w:right w:val="single" w:color="auto" w:sz="4" w:space="0"/>
            </w:tcBorders>
            <w:shd w:val="clear" w:color="auto" w:fill="FFFFFF"/>
            <w:vAlign w:val="center"/>
          </w:tcPr>
          <w:p w14:paraId="624C8E8C">
            <w:pPr>
              <w:jc w:val="center"/>
              <w:rPr>
                <w:rFonts w:hint="default" w:ascii="Times New Roman" w:hAnsi="Times New Roman" w:eastAsia="仿宋_GB2312" w:cs="Times New Roman"/>
                <w:color w:val="000000"/>
                <w:sz w:val="22"/>
              </w:rPr>
            </w:pPr>
          </w:p>
        </w:tc>
        <w:tc>
          <w:tcPr>
            <w:tcW w:w="538" w:type="pct"/>
            <w:tcBorders>
              <w:top w:val="single" w:color="auto" w:sz="4" w:space="0"/>
              <w:left w:val="single" w:color="auto" w:sz="4" w:space="0"/>
              <w:bottom w:val="single" w:color="auto" w:sz="4" w:space="0"/>
              <w:right w:val="single" w:color="auto" w:sz="4" w:space="0"/>
            </w:tcBorders>
            <w:shd w:val="clear" w:color="auto" w:fill="FFFFFF"/>
            <w:vAlign w:val="center"/>
          </w:tcPr>
          <w:p w14:paraId="76052382">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2</w:t>
            </w:r>
          </w:p>
        </w:tc>
      </w:tr>
      <w:tr w14:paraId="5EDD1753">
        <w:tblPrEx>
          <w:tblCellMar>
            <w:top w:w="15" w:type="dxa"/>
            <w:left w:w="15" w:type="dxa"/>
            <w:bottom w:w="15" w:type="dxa"/>
            <w:right w:w="15" w:type="dxa"/>
          </w:tblCellMar>
        </w:tblPrEx>
        <w:trPr>
          <w:trHeight w:val="0" w:hRule="atLeast"/>
          <w:jc w:val="center"/>
        </w:trPr>
        <w:tc>
          <w:tcPr>
            <w:tcW w:w="1700" w:type="pct"/>
            <w:tcBorders>
              <w:top w:val="single" w:color="auto" w:sz="4" w:space="0"/>
              <w:left w:val="single" w:color="000000" w:sz="4" w:space="0"/>
              <w:bottom w:val="single" w:color="000000" w:sz="4" w:space="0"/>
              <w:right w:val="single" w:color="000000" w:sz="4" w:space="0"/>
            </w:tcBorders>
            <w:shd w:val="clear" w:color="auto" w:fill="auto"/>
            <w:vAlign w:val="center"/>
          </w:tcPr>
          <w:p w14:paraId="73FDC1BE">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一、一般公共预算财政拨款收入</w:t>
            </w:r>
          </w:p>
        </w:tc>
        <w:tc>
          <w:tcPr>
            <w:tcW w:w="261" w:type="pct"/>
            <w:tcBorders>
              <w:top w:val="single" w:color="auto" w:sz="4" w:space="0"/>
              <w:left w:val="single" w:color="000000" w:sz="4" w:space="0"/>
              <w:bottom w:val="single" w:color="000000" w:sz="4" w:space="0"/>
              <w:right w:val="single" w:color="000000" w:sz="4" w:space="0"/>
            </w:tcBorders>
            <w:shd w:val="clear" w:color="auto" w:fill="FFFFFF"/>
            <w:vAlign w:val="center"/>
          </w:tcPr>
          <w:p w14:paraId="14F6BC34">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1</w:t>
            </w:r>
          </w:p>
        </w:tc>
        <w:tc>
          <w:tcPr>
            <w:tcW w:w="65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414857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2,661.66</w:t>
            </w:r>
          </w:p>
        </w:tc>
        <w:tc>
          <w:tcPr>
            <w:tcW w:w="1598" w:type="pct"/>
            <w:gridSpan w:val="2"/>
            <w:tcBorders>
              <w:top w:val="single" w:color="auto" w:sz="4" w:space="0"/>
              <w:left w:val="single" w:color="000000" w:sz="4" w:space="0"/>
              <w:bottom w:val="single" w:color="000000" w:sz="4" w:space="0"/>
              <w:right w:val="single" w:color="000000" w:sz="4" w:space="0"/>
            </w:tcBorders>
            <w:shd w:val="clear" w:color="auto" w:fill="FFFFFF"/>
            <w:vAlign w:val="center"/>
          </w:tcPr>
          <w:p w14:paraId="2BCFE23F">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一、一般公共服务支出</w:t>
            </w:r>
          </w:p>
        </w:tc>
        <w:tc>
          <w:tcPr>
            <w:tcW w:w="243" w:type="pct"/>
            <w:tcBorders>
              <w:top w:val="single" w:color="auto" w:sz="4" w:space="0"/>
              <w:left w:val="single" w:color="000000" w:sz="4" w:space="0"/>
              <w:bottom w:val="single" w:color="000000" w:sz="4" w:space="0"/>
              <w:right w:val="single" w:color="000000" w:sz="4" w:space="0"/>
            </w:tcBorders>
            <w:shd w:val="clear" w:color="auto" w:fill="FFFFFF"/>
            <w:vAlign w:val="center"/>
          </w:tcPr>
          <w:p w14:paraId="48638A51">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32</w:t>
            </w:r>
          </w:p>
        </w:tc>
        <w:tc>
          <w:tcPr>
            <w:tcW w:w="538" w:type="pct"/>
            <w:tcBorders>
              <w:top w:val="single" w:color="auto" w:sz="4" w:space="0"/>
              <w:left w:val="single" w:color="000000" w:sz="4" w:space="0"/>
              <w:bottom w:val="single" w:color="000000" w:sz="4" w:space="0"/>
              <w:right w:val="single" w:color="000000" w:sz="4" w:space="0"/>
            </w:tcBorders>
            <w:shd w:val="clear" w:color="auto" w:fill="auto"/>
            <w:vAlign w:val="center"/>
          </w:tcPr>
          <w:p w14:paraId="3CE65DB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AB95992">
        <w:tblPrEx>
          <w:tblCellMar>
            <w:top w:w="15" w:type="dxa"/>
            <w:left w:w="15" w:type="dxa"/>
            <w:bottom w:w="15" w:type="dxa"/>
            <w:right w:w="15" w:type="dxa"/>
          </w:tblCellMar>
        </w:tblPrEx>
        <w:trPr>
          <w:trHeight w:val="9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F44C2E">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二、政府性基金预算财政拨款收入</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D45254">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2</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28F0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939D867">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二、外交支出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BA8EB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5A4B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17FB88F">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31136">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三、国有资本经营预算财政拨款收入</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3BDF4E">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88DB1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D19A212">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三、国防支出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6F4C20">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34</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A836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B0677F2">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4F839D">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四、上级补助收入</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AE2E01">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4</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57ED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1B20D91">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四、公共安全支出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68774B">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35</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6376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F65A5F0">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A33C9D">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五、事业收入</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7D915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5</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AB67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6,824.06</w:t>
            </w: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E37D95">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五、教育支出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5DA93C">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4945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D308500">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64CD3F">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六、经营收入</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93D977">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6</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C17D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A781E8C">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六、科学技术支出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60A5BC">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37</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F4B8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1.60</w:t>
            </w:r>
          </w:p>
        </w:tc>
      </w:tr>
      <w:tr w14:paraId="1F4F0AC1">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799D0A">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七、附属单位上缴收入</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38601D">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7</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C2BF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14274">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rPr>
              <w:t>七、文化旅游体育与传媒支出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B4B4AC">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38</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42B4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E63A79E">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C74C54">
            <w:pPr>
              <w:widowControl/>
              <w:jc w:val="left"/>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八、其他收入</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C3CF8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8</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E8C5C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5.74</w:t>
            </w: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660A4">
            <w:pPr>
              <w:jc w:val="left"/>
              <w:rPr>
                <w:rFonts w:hint="default" w:ascii="Times New Roman" w:hAnsi="Times New Roman" w:eastAsia="仿宋_GB2312" w:cs="Times New Roman"/>
                <w:color w:val="000000"/>
                <w:sz w:val="22"/>
              </w:rPr>
            </w:pPr>
            <w:r>
              <w:rPr>
                <w:rFonts w:hint="default" w:ascii="Times New Roman" w:hAnsi="Times New Roman" w:eastAsia="仿宋_GB2312" w:cs="Times New Roman"/>
              </w:rPr>
              <w:t>八、社会保障和就业支出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09C03F">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39</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DAF6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581.30</w:t>
            </w:r>
          </w:p>
        </w:tc>
      </w:tr>
      <w:tr w14:paraId="365CA74E">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F8025">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739138">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9</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69DF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4C871">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九、卫生健康支出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291801">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40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2001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8,021.85</w:t>
            </w:r>
          </w:p>
        </w:tc>
      </w:tr>
      <w:tr w14:paraId="44E55DF5">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93D14">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00823E">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6EBF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5A4ED">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十、节能环保支出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016E9E">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41</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5352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F8C78B2">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24DBA">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94B40B">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65DCB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994FCA">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十一、城乡社区支出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984CA6">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F44B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B1261B0">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17AC6">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06E630">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12</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6CD36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04FE0">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十二、农林水支出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9A746B">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950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D2125BA">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8C4BF">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52574B">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13</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0858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9E78B">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十三、交通运输支出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715174">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44</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4EAB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1915D7B">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EE5FD">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A7A96D">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14</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8A6B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6A28D">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十四、资源勘探工业信息等支出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9EC536">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45</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F617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382483D7">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2490C">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E4106A">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15</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1179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EABC8">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十五、商业服务业等支出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3A36F1">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AA3C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51DFC19">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D61AB">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506B15">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16</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491E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4ADA0">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十六、金融支出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C9068F">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47</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1CB1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A99560A">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4B547">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732FB8">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17</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48BE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3FE8E">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十七、援助其他地区支出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6E52FC">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48</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9CAD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E4D8BEF">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2BE7B">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F55646">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18</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3C039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D67028">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十八、自然资源海洋气象等支出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D86992">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49</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A292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66BBFA4">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11E5F">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AC99AD">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19</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98B1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73E1C">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十九、住房保障支出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588C7D">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E9F4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140.82</w:t>
            </w:r>
          </w:p>
        </w:tc>
      </w:tr>
      <w:tr w14:paraId="199FCD4B">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ADBD0">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4F3CDF">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71C5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91DA0">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二十、粮油物资储备支出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87920">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51</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BB5F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476B7DF">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F8BAB">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3620F">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0B89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331C7">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二十一、国有资本经营预算支出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D0CDA6">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8B29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7A4398C">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55B0B">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43CA1E">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22</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100B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4ED55">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二十二、灾害防治及应急管理支出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5496E2">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8ED9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9DE10CF">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017BF">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110907">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23</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8DD83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3A2E4">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二十三、其他支出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620D4C">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54</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808F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73802F2">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CD4EB">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36BA8C">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24</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6061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9B674">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二十四、债务还本支出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6E4298">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55</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DFC6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15B929C">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F7A45">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EA3A4A">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25</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4423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D6AE1">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二十五、债务付息支出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7A044D">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F583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985E60F">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9B931">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3ACC5B">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26</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F44A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34EB1">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二十六、抗疫特别国债安排的支出</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86BF12">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57</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87FB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A798D8C">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EE345">
            <w:pPr>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b/>
                <w:bCs/>
              </w:rPr>
              <w:t>本年收入合计</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8005BA">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27</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7F0AF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9,491.47</w:t>
            </w: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C1B2C">
            <w:pPr>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b/>
                <w:bCs/>
              </w:rPr>
              <w:t>本年支出合计</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CDF6CF">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58</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5C07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8,745.57</w:t>
            </w:r>
          </w:p>
        </w:tc>
      </w:tr>
      <w:tr w14:paraId="1CDB877C">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787B5">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使用非财政拨款结余（含专用结余）</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C29DB7">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28</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1C2F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E3B6B">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结余分配</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C3E97E">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59</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0C00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773.30</w:t>
            </w:r>
          </w:p>
        </w:tc>
      </w:tr>
      <w:tr w14:paraId="2D747777">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EDC55">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年初结转和结余</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B6075E">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29</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1F0EB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27.40</w:t>
            </w: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284F3">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rPr>
              <w:t>年末结转和结余</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A7232A">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60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4A81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1B9D3A1">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99154">
            <w:pPr>
              <w:jc w:val="left"/>
              <w:rPr>
                <w:rFonts w:hint="default" w:ascii="Times New Roman" w:hAnsi="Times New Roman" w:eastAsia="仿宋_GB2312" w:cs="Times New Roman"/>
                <w:color w:val="000000"/>
                <w:sz w:val="20"/>
                <w:szCs w:val="20"/>
              </w:rPr>
            </w:pP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5E4DB2">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30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9C6B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88A5E">
            <w:pPr>
              <w:jc w:val="left"/>
              <w:rPr>
                <w:rFonts w:hint="default" w:ascii="Times New Roman" w:hAnsi="Times New Roman" w:eastAsia="仿宋_GB2312" w:cs="Times New Roman"/>
                <w:color w:val="000000"/>
                <w:sz w:val="20"/>
                <w:szCs w:val="20"/>
              </w:rPr>
            </w:pP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B61140">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61</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CA11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3EB5FE1E">
        <w:tblPrEx>
          <w:tblCellMar>
            <w:top w:w="15" w:type="dxa"/>
            <w:left w:w="15" w:type="dxa"/>
            <w:bottom w:w="15" w:type="dxa"/>
            <w:right w:w="15" w:type="dxa"/>
          </w:tblCellMar>
        </w:tblPrEx>
        <w:trPr>
          <w:trHeight w:val="0" w:hRule="atLeast"/>
          <w:jc w:val="center"/>
        </w:trPr>
        <w:tc>
          <w:tcPr>
            <w:tcW w:w="1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86309">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bCs/>
              </w:rPr>
              <w:t>总计</w:t>
            </w:r>
          </w:p>
        </w:tc>
        <w:tc>
          <w:tcPr>
            <w:tcW w:w="2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87D92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88C1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9,518.87</w:t>
            </w:r>
          </w:p>
        </w:tc>
        <w:tc>
          <w:tcPr>
            <w:tcW w:w="15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CFB47">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bCs/>
              </w:rPr>
              <w:t>总计</w:t>
            </w:r>
          </w:p>
        </w:tc>
        <w:tc>
          <w:tcPr>
            <w:tcW w:w="2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238F01">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62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EE16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9,518.87</w:t>
            </w:r>
          </w:p>
        </w:tc>
      </w:tr>
    </w:tbl>
    <w:p w14:paraId="1DADA352">
      <w:pPr>
        <w:widowControl/>
        <w:jc w:val="left"/>
        <w:textAlignment w:val="center"/>
        <w:rPr>
          <w:rFonts w:hint="default" w:ascii="Times New Roman" w:hAnsi="Times New Roman" w:eastAsia="仿宋_GB2312" w:cs="Times New Roman"/>
          <w:color w:val="000000"/>
          <w:kern w:val="0"/>
          <w:sz w:val="24"/>
          <w:szCs w:val="24"/>
          <w:lang w:bidi="ar"/>
        </w:rPr>
      </w:pPr>
      <w:r>
        <w:rPr>
          <w:rFonts w:hint="default" w:ascii="Times New Roman" w:hAnsi="Times New Roman" w:eastAsia="仿宋_GB2312" w:cs="Times New Roman"/>
          <w:color w:val="000000"/>
          <w:kern w:val="0"/>
          <w:sz w:val="24"/>
          <w:szCs w:val="24"/>
          <w:lang w:bidi="ar"/>
        </w:rPr>
        <w:t>注：1.本表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的总收支和年末结转结余情况。</w:t>
      </w:r>
    </w:p>
    <w:p w14:paraId="24D7B4F9">
      <w:pPr>
        <w:rPr>
          <w:rFonts w:hint="default" w:ascii="Times New Roman" w:hAnsi="Times New Roman" w:eastAsia="仿宋_GB2312" w:cs="Times New Roman"/>
        </w:rPr>
        <w:sectPr>
          <w:pgSz w:w="16838" w:h="11906" w:orient="landscape"/>
          <w:pgMar w:top="1474" w:right="1474" w:bottom="1474" w:left="1474" w:header="851" w:footer="992" w:gutter="0"/>
          <w:cols w:space="425" w:num="1"/>
          <w:rtlGutter w:val="0"/>
          <w:docGrid w:type="lines" w:linePitch="319" w:charSpace="0"/>
        </w:sectPr>
      </w:pPr>
      <w:r>
        <w:rPr>
          <w:rFonts w:hint="default" w:ascii="Times New Roman" w:hAnsi="Times New Roman" w:eastAsia="仿宋_GB2312" w:cs="Times New Roman"/>
          <w:color w:val="000000"/>
          <w:kern w:val="0"/>
          <w:sz w:val="24"/>
          <w:szCs w:val="24"/>
          <w:lang w:bidi="ar"/>
        </w:rPr>
        <w:t xml:space="preserve">    2.本套报表金额单位转换时可能存在尾数误差。</w:t>
      </w:r>
    </w:p>
    <w:tbl>
      <w:tblPr>
        <w:tblStyle w:val="9"/>
        <w:tblW w:w="5000" w:type="pct"/>
        <w:jc w:val="center"/>
        <w:tblLayout w:type="fixed"/>
        <w:tblCellMar>
          <w:top w:w="15" w:type="dxa"/>
          <w:left w:w="15" w:type="dxa"/>
          <w:bottom w:w="15" w:type="dxa"/>
          <w:right w:w="15" w:type="dxa"/>
        </w:tblCellMar>
      </w:tblPr>
      <w:tblGrid>
        <w:gridCol w:w="1196"/>
        <w:gridCol w:w="3510"/>
        <w:gridCol w:w="1516"/>
        <w:gridCol w:w="1478"/>
        <w:gridCol w:w="1099"/>
        <w:gridCol w:w="1389"/>
        <w:gridCol w:w="1150"/>
        <w:gridCol w:w="1062"/>
        <w:gridCol w:w="1520"/>
      </w:tblGrid>
      <w:tr w14:paraId="4985017D">
        <w:tblPrEx>
          <w:tblCellMar>
            <w:top w:w="15" w:type="dxa"/>
            <w:left w:w="15" w:type="dxa"/>
            <w:bottom w:w="15" w:type="dxa"/>
            <w:right w:w="15" w:type="dxa"/>
          </w:tblCellMar>
        </w:tblPrEx>
        <w:trPr>
          <w:trHeight w:val="0" w:hRule="atLeast"/>
          <w:tblHeader/>
          <w:jc w:val="center"/>
        </w:trPr>
        <w:tc>
          <w:tcPr>
            <w:tcW w:w="5000" w:type="pct"/>
            <w:gridSpan w:val="9"/>
            <w:shd w:val="clear" w:color="auto" w:fill="auto"/>
            <w:vAlign w:val="center"/>
          </w:tcPr>
          <w:p w14:paraId="6ACC5AB7">
            <w:pPr>
              <w:widowControl/>
              <w:jc w:val="center"/>
              <w:textAlignment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kern w:val="0"/>
                <w:sz w:val="32"/>
                <w:szCs w:val="32"/>
                <w:lang w:bidi="ar"/>
              </w:rPr>
              <w:t>收入决算表</w:t>
            </w:r>
          </w:p>
        </w:tc>
      </w:tr>
      <w:tr w14:paraId="17B1DC35">
        <w:tblPrEx>
          <w:tblCellMar>
            <w:top w:w="15" w:type="dxa"/>
            <w:left w:w="15" w:type="dxa"/>
            <w:bottom w:w="15" w:type="dxa"/>
            <w:right w:w="15" w:type="dxa"/>
          </w:tblCellMar>
        </w:tblPrEx>
        <w:trPr>
          <w:trHeight w:val="0" w:hRule="atLeast"/>
          <w:tblHeader/>
          <w:jc w:val="center"/>
        </w:trPr>
        <w:tc>
          <w:tcPr>
            <w:tcW w:w="429" w:type="pct"/>
            <w:shd w:val="clear" w:color="auto" w:fill="FFFFFF"/>
            <w:vAlign w:val="center"/>
          </w:tcPr>
          <w:p w14:paraId="2227B6FE">
            <w:pPr>
              <w:jc w:val="right"/>
              <w:rPr>
                <w:rFonts w:hint="default" w:ascii="Times New Roman" w:hAnsi="Times New Roman" w:eastAsia="仿宋_GB2312" w:cs="Times New Roman"/>
                <w:color w:val="000000"/>
                <w:sz w:val="24"/>
              </w:rPr>
            </w:pPr>
          </w:p>
        </w:tc>
        <w:tc>
          <w:tcPr>
            <w:tcW w:w="1260" w:type="pct"/>
            <w:shd w:val="clear" w:color="auto" w:fill="FFFFFF"/>
            <w:vAlign w:val="center"/>
          </w:tcPr>
          <w:p w14:paraId="16810639">
            <w:pPr>
              <w:jc w:val="right"/>
              <w:rPr>
                <w:rFonts w:hint="default" w:ascii="Times New Roman" w:hAnsi="Times New Roman" w:eastAsia="仿宋_GB2312" w:cs="Times New Roman"/>
                <w:color w:val="000000"/>
                <w:sz w:val="24"/>
              </w:rPr>
            </w:pPr>
          </w:p>
        </w:tc>
        <w:tc>
          <w:tcPr>
            <w:tcW w:w="544" w:type="pct"/>
            <w:shd w:val="clear" w:color="auto" w:fill="FFFFFF"/>
            <w:vAlign w:val="center"/>
          </w:tcPr>
          <w:p w14:paraId="1B085978">
            <w:pPr>
              <w:jc w:val="right"/>
              <w:rPr>
                <w:rFonts w:hint="default" w:ascii="Times New Roman" w:hAnsi="Times New Roman" w:eastAsia="仿宋_GB2312" w:cs="Times New Roman"/>
                <w:color w:val="000000"/>
                <w:sz w:val="24"/>
              </w:rPr>
            </w:pPr>
          </w:p>
        </w:tc>
        <w:tc>
          <w:tcPr>
            <w:tcW w:w="530" w:type="pct"/>
            <w:shd w:val="clear" w:color="auto" w:fill="FFFFFF"/>
            <w:vAlign w:val="center"/>
          </w:tcPr>
          <w:p w14:paraId="1C5C9916">
            <w:pPr>
              <w:jc w:val="right"/>
              <w:rPr>
                <w:rFonts w:hint="default" w:ascii="Times New Roman" w:hAnsi="Times New Roman" w:eastAsia="仿宋_GB2312" w:cs="Times New Roman"/>
                <w:color w:val="000000"/>
                <w:sz w:val="24"/>
              </w:rPr>
            </w:pPr>
          </w:p>
        </w:tc>
        <w:tc>
          <w:tcPr>
            <w:tcW w:w="394" w:type="pct"/>
            <w:shd w:val="clear" w:color="auto" w:fill="FFFFFF"/>
            <w:vAlign w:val="center"/>
          </w:tcPr>
          <w:p w14:paraId="7B9005CC">
            <w:pPr>
              <w:jc w:val="right"/>
              <w:rPr>
                <w:rFonts w:hint="default" w:ascii="Times New Roman" w:hAnsi="Times New Roman" w:eastAsia="仿宋_GB2312" w:cs="Times New Roman"/>
                <w:color w:val="000000"/>
                <w:sz w:val="24"/>
              </w:rPr>
            </w:pPr>
          </w:p>
        </w:tc>
        <w:tc>
          <w:tcPr>
            <w:tcW w:w="498" w:type="pct"/>
            <w:shd w:val="clear" w:color="auto" w:fill="FFFFFF"/>
            <w:vAlign w:val="center"/>
          </w:tcPr>
          <w:p w14:paraId="624605BB">
            <w:pPr>
              <w:jc w:val="right"/>
              <w:rPr>
                <w:rFonts w:hint="default" w:ascii="Times New Roman" w:hAnsi="Times New Roman" w:eastAsia="仿宋_GB2312" w:cs="Times New Roman"/>
                <w:color w:val="000000"/>
                <w:sz w:val="24"/>
              </w:rPr>
            </w:pPr>
          </w:p>
        </w:tc>
        <w:tc>
          <w:tcPr>
            <w:tcW w:w="413" w:type="pct"/>
            <w:shd w:val="clear" w:color="auto" w:fill="FFFFFF"/>
            <w:vAlign w:val="center"/>
          </w:tcPr>
          <w:p w14:paraId="45567E20">
            <w:pPr>
              <w:jc w:val="right"/>
              <w:rPr>
                <w:rFonts w:hint="default" w:ascii="Times New Roman" w:hAnsi="Times New Roman" w:eastAsia="仿宋_GB2312" w:cs="Times New Roman"/>
                <w:color w:val="000000"/>
                <w:sz w:val="24"/>
              </w:rPr>
            </w:pPr>
          </w:p>
        </w:tc>
        <w:tc>
          <w:tcPr>
            <w:tcW w:w="381" w:type="pct"/>
            <w:shd w:val="clear" w:color="auto" w:fill="FFFFFF"/>
            <w:vAlign w:val="center"/>
          </w:tcPr>
          <w:p w14:paraId="1F421B33">
            <w:pPr>
              <w:jc w:val="right"/>
              <w:rPr>
                <w:rFonts w:hint="default" w:ascii="Times New Roman" w:hAnsi="Times New Roman" w:eastAsia="仿宋_GB2312" w:cs="Times New Roman"/>
                <w:color w:val="000000"/>
                <w:sz w:val="24"/>
              </w:rPr>
            </w:pPr>
          </w:p>
        </w:tc>
        <w:tc>
          <w:tcPr>
            <w:tcW w:w="545" w:type="pct"/>
            <w:shd w:val="clear" w:color="auto" w:fill="FFFFFF"/>
            <w:vAlign w:val="center"/>
          </w:tcPr>
          <w:p w14:paraId="48667072">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公开02表</w:t>
            </w:r>
          </w:p>
        </w:tc>
      </w:tr>
      <w:tr w14:paraId="0D4738B3">
        <w:tblPrEx>
          <w:tblCellMar>
            <w:top w:w="15" w:type="dxa"/>
            <w:left w:w="15" w:type="dxa"/>
            <w:bottom w:w="15" w:type="dxa"/>
            <w:right w:w="15" w:type="dxa"/>
          </w:tblCellMar>
        </w:tblPrEx>
        <w:trPr>
          <w:trHeight w:val="0" w:hRule="atLeast"/>
          <w:tblHeader/>
          <w:jc w:val="center"/>
        </w:trPr>
        <w:tc>
          <w:tcPr>
            <w:tcW w:w="1690" w:type="pct"/>
            <w:gridSpan w:val="2"/>
            <w:shd w:val="clear" w:color="auto" w:fill="FFFFFF"/>
            <w:vAlign w:val="center"/>
          </w:tcPr>
          <w:p w14:paraId="1C255D10">
            <w:pPr>
              <w:jc w:val="left"/>
              <w:rPr>
                <w:rFonts w:hint="default" w:ascii="Times New Roman" w:hAnsi="Times New Roman" w:eastAsia="仿宋_GB2312" w:cs="Times New Roman"/>
                <w:color w:val="000000"/>
                <w:sz w:val="24"/>
                <w:lang w:val="en-US" w:eastAsia="zh-CN"/>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544" w:type="pct"/>
            <w:shd w:val="clear" w:color="auto" w:fill="FFFFFF"/>
            <w:vAlign w:val="center"/>
          </w:tcPr>
          <w:p w14:paraId="3FFC9C22">
            <w:pPr>
              <w:jc w:val="right"/>
              <w:rPr>
                <w:rFonts w:hint="default" w:ascii="Times New Roman" w:hAnsi="Times New Roman" w:eastAsia="仿宋_GB2312" w:cs="Times New Roman"/>
                <w:color w:val="000000"/>
                <w:sz w:val="24"/>
              </w:rPr>
            </w:pPr>
          </w:p>
        </w:tc>
        <w:tc>
          <w:tcPr>
            <w:tcW w:w="925" w:type="pct"/>
            <w:gridSpan w:val="2"/>
            <w:shd w:val="clear" w:color="auto" w:fill="FFFFFF"/>
            <w:vAlign w:val="center"/>
          </w:tcPr>
          <w:p w14:paraId="7683A77A">
            <w:pPr>
              <w:ind w:firstLine="240" w:firstLineChars="1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4"/>
                <w:szCs w:val="24"/>
              </w:rPr>
              <w:t>2025年度</w:t>
            </w:r>
          </w:p>
        </w:tc>
        <w:tc>
          <w:tcPr>
            <w:tcW w:w="498" w:type="pct"/>
            <w:shd w:val="clear" w:color="auto" w:fill="FFFFFF"/>
            <w:vAlign w:val="center"/>
          </w:tcPr>
          <w:p w14:paraId="407AFEAC">
            <w:pPr>
              <w:jc w:val="right"/>
              <w:rPr>
                <w:rFonts w:hint="default" w:ascii="Times New Roman" w:hAnsi="Times New Roman" w:eastAsia="仿宋_GB2312" w:cs="Times New Roman"/>
                <w:color w:val="000000"/>
                <w:sz w:val="24"/>
              </w:rPr>
            </w:pPr>
          </w:p>
        </w:tc>
        <w:tc>
          <w:tcPr>
            <w:tcW w:w="413" w:type="pct"/>
            <w:shd w:val="clear" w:color="auto" w:fill="FFFFFF"/>
            <w:vAlign w:val="center"/>
          </w:tcPr>
          <w:p w14:paraId="7A216559">
            <w:pPr>
              <w:jc w:val="right"/>
              <w:rPr>
                <w:rFonts w:hint="default" w:ascii="Times New Roman" w:hAnsi="Times New Roman" w:eastAsia="仿宋_GB2312" w:cs="Times New Roman"/>
                <w:color w:val="000000"/>
                <w:sz w:val="24"/>
              </w:rPr>
            </w:pPr>
          </w:p>
        </w:tc>
        <w:tc>
          <w:tcPr>
            <w:tcW w:w="381" w:type="pct"/>
            <w:shd w:val="clear" w:color="auto" w:fill="FFFFFF"/>
            <w:vAlign w:val="center"/>
          </w:tcPr>
          <w:p w14:paraId="12ED74AE">
            <w:pPr>
              <w:jc w:val="right"/>
              <w:rPr>
                <w:rFonts w:hint="default" w:ascii="Times New Roman" w:hAnsi="Times New Roman" w:eastAsia="仿宋_GB2312" w:cs="Times New Roman"/>
                <w:color w:val="000000"/>
                <w:sz w:val="24"/>
              </w:rPr>
            </w:pPr>
          </w:p>
        </w:tc>
        <w:tc>
          <w:tcPr>
            <w:tcW w:w="545" w:type="pct"/>
            <w:shd w:val="clear" w:color="auto" w:fill="FFFFFF"/>
            <w:vAlign w:val="center"/>
          </w:tcPr>
          <w:p w14:paraId="5EAECD68">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单位：万元</w:t>
            </w:r>
          </w:p>
        </w:tc>
      </w:tr>
      <w:tr w14:paraId="435D17DC">
        <w:tblPrEx>
          <w:tblCellMar>
            <w:top w:w="15" w:type="dxa"/>
            <w:left w:w="15" w:type="dxa"/>
            <w:bottom w:w="15" w:type="dxa"/>
            <w:right w:w="15" w:type="dxa"/>
          </w:tblCellMar>
        </w:tblPrEx>
        <w:trPr>
          <w:trHeight w:val="0" w:hRule="atLeast"/>
          <w:tblHeader/>
          <w:jc w:val="center"/>
        </w:trPr>
        <w:tc>
          <w:tcPr>
            <w:tcW w:w="169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BC4810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项    目</w:t>
            </w:r>
          </w:p>
        </w:tc>
        <w:tc>
          <w:tcPr>
            <w:tcW w:w="54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06AED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本年收入合计</w:t>
            </w:r>
          </w:p>
        </w:tc>
        <w:tc>
          <w:tcPr>
            <w:tcW w:w="5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75E7F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财政拨款收入</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7DAD2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上级补助收入</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2769E6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事业收入</w:t>
            </w:r>
          </w:p>
        </w:tc>
        <w:tc>
          <w:tcPr>
            <w:tcW w:w="41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D1DC8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经营收入</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AEEF6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附属单位上缴收入</w:t>
            </w:r>
          </w:p>
        </w:tc>
        <w:tc>
          <w:tcPr>
            <w:tcW w:w="54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73B44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其他收入</w:t>
            </w:r>
          </w:p>
        </w:tc>
      </w:tr>
      <w:tr w14:paraId="7414760A">
        <w:tblPrEx>
          <w:tblCellMar>
            <w:top w:w="15" w:type="dxa"/>
            <w:left w:w="15" w:type="dxa"/>
            <w:bottom w:w="15" w:type="dxa"/>
            <w:right w:w="15" w:type="dxa"/>
          </w:tblCellMar>
        </w:tblPrEx>
        <w:trPr>
          <w:trHeight w:val="312" w:hRule="atLeast"/>
          <w:tblHeader/>
          <w:jc w:val="center"/>
        </w:trPr>
        <w:tc>
          <w:tcPr>
            <w:tcW w:w="4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DD920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imes New Roman" w:hAnsi="Times New Roman" w:eastAsia="仿宋_GB2312" w:cs="Times New Roman"/>
                <w:b/>
                <w:bCs/>
                <w:color w:val="000000"/>
                <w:kern w:val="0"/>
                <w:sz w:val="22"/>
                <w:szCs w:val="24"/>
                <w:lang w:eastAsia="zh-CN" w:bidi="ar"/>
              </w:rPr>
            </w:pPr>
            <w:r>
              <w:rPr>
                <w:rFonts w:hint="eastAsia" w:ascii="Times New Roman" w:hAnsi="Times New Roman" w:eastAsia="仿宋_GB2312" w:cs="Times New Roman"/>
                <w:b/>
                <w:bCs/>
                <w:color w:val="000000"/>
                <w:kern w:val="0"/>
                <w:sz w:val="22"/>
                <w:szCs w:val="24"/>
                <w:lang w:eastAsia="zh-CN" w:bidi="ar"/>
              </w:rPr>
              <w:t>科目代码</w:t>
            </w:r>
          </w:p>
        </w:tc>
        <w:tc>
          <w:tcPr>
            <w:tcW w:w="12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22647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imes New Roman" w:hAnsi="Times New Roman" w:eastAsia="仿宋_GB2312" w:cs="Times New Roman"/>
                <w:b/>
                <w:bCs/>
                <w:color w:val="000000"/>
                <w:kern w:val="0"/>
                <w:sz w:val="22"/>
                <w:szCs w:val="24"/>
                <w:lang w:eastAsia="zh-CN" w:bidi="ar"/>
              </w:rPr>
            </w:pPr>
            <w:r>
              <w:rPr>
                <w:rFonts w:hint="eastAsia" w:ascii="Times New Roman" w:hAnsi="Times New Roman" w:eastAsia="仿宋_GB2312" w:cs="Times New Roman"/>
                <w:b/>
                <w:bCs/>
                <w:color w:val="000000"/>
                <w:kern w:val="0"/>
                <w:sz w:val="22"/>
                <w:szCs w:val="24"/>
                <w:lang w:eastAsia="zh-CN" w:bidi="ar"/>
              </w:rPr>
              <w:t>科目名称</w:t>
            </w:r>
          </w:p>
        </w:tc>
        <w:tc>
          <w:tcPr>
            <w:tcW w:w="54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99A01C">
            <w:pPr>
              <w:jc w:val="center"/>
              <w:rPr>
                <w:rFonts w:hint="default" w:ascii="Times New Roman" w:hAnsi="Times New Roman" w:eastAsia="仿宋_GB2312" w:cs="Times New Roman"/>
                <w:color w:val="000000"/>
                <w:sz w:val="22"/>
              </w:rPr>
            </w:pPr>
          </w:p>
        </w:tc>
        <w:tc>
          <w:tcPr>
            <w:tcW w:w="5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57908">
            <w:pPr>
              <w:jc w:val="center"/>
              <w:rPr>
                <w:rFonts w:hint="default" w:ascii="Times New Roman" w:hAnsi="Times New Roman" w:eastAsia="仿宋_GB2312" w:cs="Times New Roman"/>
                <w:color w:val="000000"/>
                <w:sz w:val="22"/>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C987D9">
            <w:pPr>
              <w:jc w:val="center"/>
              <w:rPr>
                <w:rFonts w:hint="default" w:ascii="Times New Roman" w:hAnsi="Times New Roman" w:eastAsia="仿宋_GB2312" w:cs="Times New Roman"/>
                <w:color w:val="000000"/>
                <w:sz w:val="22"/>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F301A4">
            <w:pPr>
              <w:jc w:val="center"/>
              <w:rPr>
                <w:rFonts w:hint="default" w:ascii="Times New Roman" w:hAnsi="Times New Roman" w:eastAsia="仿宋_GB2312" w:cs="Times New Roman"/>
                <w:color w:val="000000"/>
                <w:sz w:val="22"/>
              </w:rPr>
            </w:pPr>
          </w:p>
        </w:tc>
        <w:tc>
          <w:tcPr>
            <w:tcW w:w="41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FB73D1">
            <w:pPr>
              <w:jc w:val="center"/>
              <w:rPr>
                <w:rFonts w:hint="default" w:ascii="Times New Roman" w:hAnsi="Times New Roman" w:eastAsia="仿宋_GB2312" w:cs="Times New Roman"/>
                <w:color w:val="000000"/>
                <w:sz w:val="22"/>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83F974">
            <w:pPr>
              <w:jc w:val="center"/>
              <w:rPr>
                <w:rFonts w:hint="default" w:ascii="Times New Roman" w:hAnsi="Times New Roman" w:eastAsia="仿宋_GB2312" w:cs="Times New Roman"/>
                <w:color w:val="000000"/>
                <w:sz w:val="22"/>
              </w:rPr>
            </w:pPr>
          </w:p>
        </w:tc>
        <w:tc>
          <w:tcPr>
            <w:tcW w:w="54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B58274">
            <w:pPr>
              <w:jc w:val="center"/>
              <w:rPr>
                <w:rFonts w:hint="default" w:ascii="Times New Roman" w:hAnsi="Times New Roman" w:eastAsia="仿宋_GB2312" w:cs="Times New Roman"/>
                <w:color w:val="000000"/>
                <w:sz w:val="22"/>
              </w:rPr>
            </w:pPr>
          </w:p>
        </w:tc>
      </w:tr>
      <w:tr w14:paraId="366F0E09">
        <w:tblPrEx>
          <w:tblCellMar>
            <w:top w:w="15" w:type="dxa"/>
            <w:left w:w="15" w:type="dxa"/>
            <w:bottom w:w="15" w:type="dxa"/>
            <w:right w:w="15" w:type="dxa"/>
          </w:tblCellMar>
        </w:tblPrEx>
        <w:trPr>
          <w:trHeight w:val="0" w:hRule="atLeast"/>
          <w:tblHeader/>
          <w:jc w:val="center"/>
        </w:trPr>
        <w:tc>
          <w:tcPr>
            <w:tcW w:w="169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B6F4BEF">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栏次</w:t>
            </w:r>
          </w:p>
        </w:tc>
        <w:tc>
          <w:tcPr>
            <w:tcW w:w="5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BC294A">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1</w:t>
            </w:r>
          </w:p>
        </w:tc>
        <w:tc>
          <w:tcPr>
            <w:tcW w:w="5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4D1CD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2</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11948E">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3</w:t>
            </w:r>
          </w:p>
        </w:tc>
        <w:tc>
          <w:tcPr>
            <w:tcW w:w="4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3B470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4</w:t>
            </w:r>
          </w:p>
        </w:tc>
        <w:tc>
          <w:tcPr>
            <w:tcW w:w="4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77EF08">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5</w:t>
            </w:r>
          </w:p>
        </w:tc>
        <w:tc>
          <w:tcPr>
            <w:tcW w:w="3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30CDE8">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6</w:t>
            </w:r>
          </w:p>
        </w:tc>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EBE5A2">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7</w:t>
            </w:r>
          </w:p>
        </w:tc>
      </w:tr>
      <w:tr w14:paraId="6DEAEF99">
        <w:tblPrEx>
          <w:tblCellMar>
            <w:top w:w="15" w:type="dxa"/>
            <w:left w:w="15" w:type="dxa"/>
            <w:bottom w:w="15" w:type="dxa"/>
            <w:right w:w="15" w:type="dxa"/>
          </w:tblCellMar>
        </w:tblPrEx>
        <w:trPr>
          <w:trHeight w:val="0" w:hRule="atLeast"/>
          <w:jc w:val="center"/>
        </w:trPr>
        <w:tc>
          <w:tcPr>
            <w:tcW w:w="16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308D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8FDF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rPr>
              <w:t>9,491.47</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59B7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rPr>
              <w:t>2,661.66</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9804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378B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rPr>
              <w:t>6,824.06</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5B0D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DD9C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E46E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rPr>
              <w:t>5.74</w:t>
            </w:r>
          </w:p>
        </w:tc>
      </w:tr>
      <w:tr w14:paraId="75BF7EF3">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6EA94">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206</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A5BFF">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科学技术支出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61D27">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1.60</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0007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B7E9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37727">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1.60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34EF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5D5BD">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6E67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4E10622A">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9B0C8">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20602</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94FA3">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基础研究</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CD0D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1.60</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69EC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1632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2B99">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1.60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F34A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93708">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CD36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3729A36C">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951CC">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2060203</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991BC">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自然科学基金</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A4C68">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1.60</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AC02D">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3A07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571D9">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1.60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BA58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FB54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7B95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53354083">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F963B">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208</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BC4E1">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社会保障和就业支出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1B54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581.30</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7F69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538.05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23F64">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FC1C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43.25</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6F0F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650C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94E24">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7EA5F905">
        <w:tblPrEx>
          <w:tblCellMar>
            <w:top w:w="15" w:type="dxa"/>
            <w:left w:w="15" w:type="dxa"/>
            <w:bottom w:w="15" w:type="dxa"/>
            <w:right w:w="15" w:type="dxa"/>
          </w:tblCellMar>
        </w:tblPrEx>
        <w:trPr>
          <w:trHeight w:val="9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D7F50">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20805</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9CFD0">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行政事业单位养老支出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6B1B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581.30</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B985B">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538.05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7B73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AEFB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43.25</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5586">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028A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95D0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42BF484A">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575E9">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2080502</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2BF5">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事业单位离退休</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07E5B">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380.67</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281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362.13</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C61F6">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7541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18.54</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81D97">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6031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8E984">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10B541C9">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566CC">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2080505</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B1E2E">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机关事业单位基本养老保险缴费支出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4CB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133.75</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D4B3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118.74</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E9725">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A0AC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15.01</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16815">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C9D4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257D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5236AEE1">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A59B">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2080506</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49C7F">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机关事业单位职业年金缴费支出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CF0A9">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66.87</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6661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57.17</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8269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4CC79">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9.70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ADA6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241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7CBD9">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6EBD4BB1">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68749">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210</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3606D">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卫生健康支出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87964">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8,767.75</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F3E6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2,044.21</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74A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E5C57">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6,717.80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5D78">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0B41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E29D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5.74</w:t>
            </w:r>
          </w:p>
        </w:tc>
      </w:tr>
      <w:tr w14:paraId="62B1115A">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7BFDD">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21002</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260E">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公立医院</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C5C0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8,110.31</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BAA5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1,409.76</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AB1B5">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DC9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6,694.80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4FD7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6C33D">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F4CC6">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5.74</w:t>
            </w:r>
          </w:p>
        </w:tc>
      </w:tr>
      <w:tr w14:paraId="0AD9DFAB">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264CE">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2100202</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6866">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中医（民族）医院</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EA0D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8,110.31</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43985">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1,409.76</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33C36">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5466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6,694.80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C5E5B">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903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863D4">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5.74</w:t>
            </w:r>
          </w:p>
        </w:tc>
      </w:tr>
      <w:tr w14:paraId="1F333E61">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21502">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21011</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EDAE8">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行政事业单位医疗</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2BF38">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68.88</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C6E2D">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45.88</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D85E4">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C7815">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23.00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6ED8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6A88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D14B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36699B6A">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7803">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2101102</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55E6B">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事业单位医疗</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75631">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68.88</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9187D">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45.88</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5E6F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C615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23.00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69CC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0200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AF84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06CA63E5">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7FEAA">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21017</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53AA7">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中医药事务</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EDC8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588.56</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38D4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588.56</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CB6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0987B">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46AE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82F7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C9948">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37208B91">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F93B5">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2101704</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1EDF4">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中医（民族医）药专项</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771D7">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588.56</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D3BC7">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588.56</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568E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8FDD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1E30D">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B401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3A7B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2900BC80">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01FEE">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221</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0C95">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住房保障支出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197A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140.82</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6116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79.41</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00E6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C763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61.41</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A3EA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D8C2B">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FEC9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60DB2F8A">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EC97F">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22102</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76474">
            <w:pPr>
              <w:jc w:val="left"/>
              <w:rPr>
                <w:rFonts w:hint="eastAsia" w:ascii="仿宋_GB2312" w:hAnsi="仿宋_GB2312" w:eastAsia="仿宋_GB2312" w:cs="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住房改革支出</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2FF7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140.82</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C4C9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79.41</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AED37">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955D2">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61.41</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A5D6">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D9B3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4A960">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4979E497">
        <w:tblPrEx>
          <w:tblCellMar>
            <w:top w:w="15" w:type="dxa"/>
            <w:left w:w="15" w:type="dxa"/>
            <w:bottom w:w="15" w:type="dxa"/>
            <w:right w:w="15" w:type="dxa"/>
          </w:tblCellMar>
        </w:tblPrEx>
        <w:trPr>
          <w:trHeight w:val="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663A2">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default" w:ascii="Times New Roman" w:hAnsi="Times New Roman" w:eastAsia="方正仿宋_GB2312" w:cs="Times New Roman"/>
                <w:spacing w:val="-2"/>
                <w:sz w:val="20"/>
                <w:szCs w:val="20"/>
                <w:lang w:val="en-US" w:eastAsia="zh-CN"/>
              </w:rPr>
              <w:t>2210201</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3C13">
            <w:pPr>
              <w:jc w:val="left"/>
              <w:rPr>
                <w:rFonts w:hint="default" w:ascii="方正仿宋_GB2312" w:hAnsi="方正仿宋_GB2312" w:eastAsia="方正仿宋_GB2312" w:cs="方正仿宋_GB2312"/>
                <w:i w:val="0"/>
                <w:iCs w:val="0"/>
                <w:color w:val="000000"/>
                <w:kern w:val="0"/>
                <w:sz w:val="20"/>
                <w:szCs w:val="20"/>
                <w:highlight w:val="none"/>
                <w:u w:val="none"/>
                <w:lang w:val="en-US" w:eastAsia="zh-CN" w:bidi="ar-SA"/>
              </w:rPr>
            </w:pPr>
            <w:r>
              <w:rPr>
                <w:rFonts w:hint="eastAsia" w:ascii="仿宋_GB2312" w:hAnsi="仿宋_GB2312" w:eastAsia="仿宋_GB2312" w:cs="仿宋_GB2312"/>
                <w:spacing w:val="-2"/>
                <w:sz w:val="20"/>
                <w:szCs w:val="20"/>
                <w:lang w:val="en-US" w:eastAsia="zh-CN"/>
              </w:rPr>
              <w:t>住房公积金</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07F4F">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140.82</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21C36">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79.41</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37E23">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7557A">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r>
              <w:rPr>
                <w:rFonts w:hint="default" w:ascii="Times New Roman" w:hAnsi="Times New Roman" w:eastAsia="宋体" w:cs="Times New Roman"/>
                <w:spacing w:val="-2"/>
                <w:sz w:val="20"/>
                <w:szCs w:val="20"/>
                <w:lang w:val="en-US" w:eastAsia="zh-CN"/>
              </w:rPr>
              <w:t>61.41</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E3BAE">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76F35">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CDBEC">
            <w:pPr>
              <w:jc w:val="right"/>
              <w:rPr>
                <w:rFonts w:hint="default" w:ascii="Times New Roman" w:hAnsi="Times New Roman" w:eastAsia="宋体" w:cs="Times New Roman"/>
                <w:i w:val="0"/>
                <w:iCs w:val="0"/>
                <w:color w:val="000000"/>
                <w:kern w:val="0"/>
                <w:sz w:val="20"/>
                <w:szCs w:val="20"/>
                <w:highlight w:val="none"/>
                <w:u w:val="none"/>
                <w:lang w:val="en-US" w:eastAsia="zh-CN" w:bidi="ar-SA"/>
              </w:rPr>
            </w:pPr>
          </w:p>
        </w:tc>
      </w:tr>
      <w:tr w14:paraId="764F09A9">
        <w:tblPrEx>
          <w:tblCellMar>
            <w:top w:w="15" w:type="dxa"/>
            <w:left w:w="15" w:type="dxa"/>
            <w:bottom w:w="15" w:type="dxa"/>
            <w:right w:w="15" w:type="dxa"/>
          </w:tblCellMar>
        </w:tblPrEx>
        <w:trPr>
          <w:trHeight w:val="0" w:hRule="atLeast"/>
          <w:jc w:val="center"/>
        </w:trPr>
        <w:tc>
          <w:tcPr>
            <w:tcW w:w="5000" w:type="pct"/>
            <w:gridSpan w:val="9"/>
            <w:shd w:val="clear" w:color="auto" w:fill="auto"/>
            <w:vAlign w:val="center"/>
          </w:tcPr>
          <w:p w14:paraId="3DD211D6">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取得的各项收入情况。</w:t>
            </w:r>
          </w:p>
        </w:tc>
      </w:tr>
    </w:tbl>
    <w:p w14:paraId="7BB39463">
      <w:pPr>
        <w:rPr>
          <w:rFonts w:hint="default" w:ascii="Times New Roman" w:hAnsi="Times New Roman" w:eastAsia="仿宋_GB2312" w:cs="Times New Roman"/>
        </w:rPr>
        <w:sectPr>
          <w:pgSz w:w="16838" w:h="11906" w:orient="landscape"/>
          <w:pgMar w:top="1474" w:right="1474" w:bottom="1474" w:left="1474" w:header="851" w:footer="992" w:gutter="0"/>
          <w:cols w:space="425" w:num="1"/>
          <w:rtlGutter w:val="0"/>
          <w:docGrid w:type="lines" w:linePitch="319" w:charSpace="0"/>
        </w:sectPr>
      </w:pPr>
    </w:p>
    <w:tbl>
      <w:tblPr>
        <w:tblStyle w:val="9"/>
        <w:tblW w:w="5000" w:type="pct"/>
        <w:jc w:val="center"/>
        <w:tblLayout w:type="autofit"/>
        <w:tblCellMar>
          <w:top w:w="15" w:type="dxa"/>
          <w:left w:w="15" w:type="dxa"/>
          <w:bottom w:w="15" w:type="dxa"/>
          <w:right w:w="15" w:type="dxa"/>
        </w:tblCellMar>
      </w:tblPr>
      <w:tblGrid>
        <w:gridCol w:w="921"/>
        <w:gridCol w:w="30"/>
        <w:gridCol w:w="3675"/>
        <w:gridCol w:w="1734"/>
        <w:gridCol w:w="1807"/>
        <w:gridCol w:w="1643"/>
        <w:gridCol w:w="1384"/>
        <w:gridCol w:w="1097"/>
        <w:gridCol w:w="1629"/>
      </w:tblGrid>
      <w:tr w14:paraId="2BC1E298">
        <w:tblPrEx>
          <w:tblCellMar>
            <w:top w:w="15" w:type="dxa"/>
            <w:left w:w="15" w:type="dxa"/>
            <w:bottom w:w="15" w:type="dxa"/>
            <w:right w:w="15" w:type="dxa"/>
          </w:tblCellMar>
        </w:tblPrEx>
        <w:trPr>
          <w:trHeight w:val="435" w:hRule="atLeast"/>
          <w:tblHeader/>
          <w:jc w:val="center"/>
        </w:trPr>
        <w:tc>
          <w:tcPr>
            <w:tcW w:w="5000" w:type="pct"/>
            <w:gridSpan w:val="9"/>
            <w:shd w:val="clear" w:color="auto" w:fill="auto"/>
            <w:vAlign w:val="center"/>
          </w:tcPr>
          <w:p w14:paraId="5342FEB5">
            <w:pPr>
              <w:widowControl/>
              <w:jc w:val="center"/>
              <w:textAlignment w:val="cente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kern w:val="0"/>
                <w:sz w:val="32"/>
                <w:szCs w:val="32"/>
                <w:lang w:bidi="ar"/>
              </w:rPr>
              <w:t>支出决算表</w:t>
            </w:r>
          </w:p>
        </w:tc>
      </w:tr>
      <w:tr w14:paraId="601CBD6A">
        <w:tblPrEx>
          <w:tblCellMar>
            <w:top w:w="15" w:type="dxa"/>
            <w:left w:w="15" w:type="dxa"/>
            <w:bottom w:w="15" w:type="dxa"/>
            <w:right w:w="15" w:type="dxa"/>
          </w:tblCellMar>
        </w:tblPrEx>
        <w:trPr>
          <w:trHeight w:val="286" w:hRule="atLeast"/>
          <w:tblHeader/>
          <w:jc w:val="center"/>
        </w:trPr>
        <w:tc>
          <w:tcPr>
            <w:tcW w:w="1662" w:type="pct"/>
            <w:gridSpan w:val="3"/>
            <w:shd w:val="clear" w:color="auto" w:fill="FFFFFF"/>
            <w:vAlign w:val="center"/>
          </w:tcPr>
          <w:p w14:paraId="253C004C">
            <w:pPr>
              <w:jc w:val="right"/>
              <w:rPr>
                <w:rFonts w:hint="default" w:ascii="Times New Roman" w:hAnsi="Times New Roman" w:eastAsia="仿宋_GB2312" w:cs="Times New Roman"/>
                <w:color w:val="000000"/>
                <w:sz w:val="24"/>
              </w:rPr>
            </w:pPr>
          </w:p>
        </w:tc>
        <w:tc>
          <w:tcPr>
            <w:tcW w:w="622" w:type="pct"/>
            <w:shd w:val="clear" w:color="auto" w:fill="FFFFFF"/>
            <w:vAlign w:val="center"/>
          </w:tcPr>
          <w:p w14:paraId="4F9175EA">
            <w:pPr>
              <w:jc w:val="right"/>
              <w:rPr>
                <w:rFonts w:hint="default" w:ascii="Times New Roman" w:hAnsi="Times New Roman" w:eastAsia="仿宋_GB2312" w:cs="Times New Roman"/>
                <w:color w:val="000000"/>
                <w:sz w:val="24"/>
              </w:rPr>
            </w:pPr>
          </w:p>
        </w:tc>
        <w:tc>
          <w:tcPr>
            <w:tcW w:w="649" w:type="pct"/>
            <w:shd w:val="clear" w:color="auto" w:fill="FFFFFF"/>
            <w:vAlign w:val="center"/>
          </w:tcPr>
          <w:p w14:paraId="14B0032F">
            <w:pPr>
              <w:jc w:val="right"/>
              <w:rPr>
                <w:rFonts w:hint="default" w:ascii="Times New Roman" w:hAnsi="Times New Roman" w:eastAsia="仿宋_GB2312" w:cs="Times New Roman"/>
                <w:color w:val="000000"/>
                <w:sz w:val="24"/>
              </w:rPr>
            </w:pPr>
          </w:p>
        </w:tc>
        <w:tc>
          <w:tcPr>
            <w:tcW w:w="590" w:type="pct"/>
            <w:shd w:val="clear" w:color="auto" w:fill="FFFFFF"/>
            <w:vAlign w:val="center"/>
          </w:tcPr>
          <w:p w14:paraId="7C24B6BB">
            <w:pPr>
              <w:jc w:val="right"/>
              <w:rPr>
                <w:rFonts w:hint="default" w:ascii="Times New Roman" w:hAnsi="Times New Roman" w:eastAsia="仿宋_GB2312" w:cs="Times New Roman"/>
                <w:color w:val="000000"/>
                <w:sz w:val="24"/>
              </w:rPr>
            </w:pPr>
          </w:p>
        </w:tc>
        <w:tc>
          <w:tcPr>
            <w:tcW w:w="497" w:type="pct"/>
            <w:shd w:val="clear" w:color="auto" w:fill="FFFFFF"/>
            <w:vAlign w:val="center"/>
          </w:tcPr>
          <w:p w14:paraId="680D8FF1">
            <w:pPr>
              <w:jc w:val="right"/>
              <w:rPr>
                <w:rFonts w:hint="default" w:ascii="Times New Roman" w:hAnsi="Times New Roman" w:eastAsia="仿宋_GB2312" w:cs="Times New Roman"/>
                <w:color w:val="000000"/>
                <w:sz w:val="24"/>
              </w:rPr>
            </w:pPr>
          </w:p>
        </w:tc>
        <w:tc>
          <w:tcPr>
            <w:tcW w:w="394" w:type="pct"/>
            <w:shd w:val="clear" w:color="auto" w:fill="FFFFFF"/>
            <w:vAlign w:val="center"/>
          </w:tcPr>
          <w:p w14:paraId="3E94C61B">
            <w:pPr>
              <w:jc w:val="right"/>
              <w:rPr>
                <w:rFonts w:hint="default" w:ascii="Times New Roman" w:hAnsi="Times New Roman" w:eastAsia="仿宋_GB2312" w:cs="Times New Roman"/>
                <w:color w:val="000000"/>
                <w:sz w:val="24"/>
              </w:rPr>
            </w:pPr>
          </w:p>
        </w:tc>
        <w:tc>
          <w:tcPr>
            <w:tcW w:w="584" w:type="pct"/>
            <w:shd w:val="clear" w:color="auto" w:fill="FFFFFF"/>
            <w:vAlign w:val="center"/>
          </w:tcPr>
          <w:p w14:paraId="19C59665">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公开03表</w:t>
            </w:r>
          </w:p>
        </w:tc>
      </w:tr>
      <w:tr w14:paraId="6CA94E84">
        <w:tblPrEx>
          <w:tblCellMar>
            <w:top w:w="15" w:type="dxa"/>
            <w:left w:w="15" w:type="dxa"/>
            <w:bottom w:w="15" w:type="dxa"/>
            <w:right w:w="15" w:type="dxa"/>
          </w:tblCellMar>
        </w:tblPrEx>
        <w:trPr>
          <w:trHeight w:val="286" w:hRule="atLeast"/>
          <w:tblHeader/>
          <w:jc w:val="center"/>
        </w:trPr>
        <w:tc>
          <w:tcPr>
            <w:tcW w:w="2285" w:type="pct"/>
            <w:gridSpan w:val="4"/>
            <w:shd w:val="clear" w:color="auto" w:fill="FFFFFF"/>
            <w:vAlign w:val="center"/>
          </w:tcPr>
          <w:p w14:paraId="0D383367">
            <w:pPr>
              <w:widowControl/>
              <w:jc w:val="both"/>
              <w:textAlignment w:val="center"/>
              <w:rPr>
                <w:rFonts w:hint="default" w:ascii="Times New Roman" w:hAnsi="Times New Roman" w:eastAsia="仿宋_GB2312" w:cs="Times New Roman"/>
                <w:color w:val="000000"/>
                <w:sz w:val="24"/>
                <w:lang w:val="en-US" w:eastAsia="zh-CN"/>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649" w:type="pct"/>
            <w:shd w:val="clear" w:color="auto" w:fill="FFFFFF"/>
            <w:vAlign w:val="center"/>
          </w:tcPr>
          <w:p w14:paraId="535E148A">
            <w:pPr>
              <w:jc w:val="lef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szCs w:val="24"/>
              </w:rPr>
              <w:t>2025年度</w:t>
            </w:r>
          </w:p>
        </w:tc>
        <w:tc>
          <w:tcPr>
            <w:tcW w:w="590" w:type="pct"/>
            <w:shd w:val="clear" w:color="auto" w:fill="FFFFFF"/>
            <w:vAlign w:val="center"/>
          </w:tcPr>
          <w:p w14:paraId="794B5820">
            <w:pPr>
              <w:jc w:val="right"/>
              <w:rPr>
                <w:rFonts w:hint="default" w:ascii="Times New Roman" w:hAnsi="Times New Roman" w:eastAsia="仿宋_GB2312" w:cs="Times New Roman"/>
                <w:color w:val="000000"/>
                <w:sz w:val="20"/>
                <w:szCs w:val="20"/>
              </w:rPr>
            </w:pPr>
          </w:p>
        </w:tc>
        <w:tc>
          <w:tcPr>
            <w:tcW w:w="497" w:type="pct"/>
            <w:shd w:val="clear" w:color="auto" w:fill="FFFFFF"/>
            <w:vAlign w:val="center"/>
          </w:tcPr>
          <w:p w14:paraId="02B019F0">
            <w:pPr>
              <w:jc w:val="right"/>
              <w:rPr>
                <w:rFonts w:hint="default" w:ascii="Times New Roman" w:hAnsi="Times New Roman" w:eastAsia="仿宋_GB2312" w:cs="Times New Roman"/>
                <w:color w:val="000000"/>
                <w:sz w:val="24"/>
              </w:rPr>
            </w:pPr>
          </w:p>
        </w:tc>
        <w:tc>
          <w:tcPr>
            <w:tcW w:w="394" w:type="pct"/>
            <w:shd w:val="clear" w:color="auto" w:fill="FFFFFF"/>
            <w:vAlign w:val="center"/>
          </w:tcPr>
          <w:p w14:paraId="3B6C4147">
            <w:pPr>
              <w:jc w:val="right"/>
              <w:rPr>
                <w:rFonts w:hint="default" w:ascii="Times New Roman" w:hAnsi="Times New Roman" w:eastAsia="仿宋_GB2312" w:cs="Times New Roman"/>
                <w:color w:val="000000"/>
                <w:sz w:val="24"/>
              </w:rPr>
            </w:pPr>
          </w:p>
        </w:tc>
        <w:tc>
          <w:tcPr>
            <w:tcW w:w="584" w:type="pct"/>
            <w:shd w:val="clear" w:color="auto" w:fill="FFFFFF"/>
            <w:vAlign w:val="center"/>
          </w:tcPr>
          <w:p w14:paraId="434374B2">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单位：万元</w:t>
            </w:r>
          </w:p>
        </w:tc>
      </w:tr>
      <w:tr w14:paraId="62A54049">
        <w:tblPrEx>
          <w:tblCellMar>
            <w:top w:w="15" w:type="dxa"/>
            <w:left w:w="15" w:type="dxa"/>
            <w:bottom w:w="15" w:type="dxa"/>
            <w:right w:w="15" w:type="dxa"/>
          </w:tblCellMar>
        </w:tblPrEx>
        <w:trPr>
          <w:trHeight w:val="0" w:hRule="atLeast"/>
          <w:tblHeader/>
          <w:jc w:val="center"/>
        </w:trPr>
        <w:tc>
          <w:tcPr>
            <w:tcW w:w="166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FE169C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项    目</w:t>
            </w:r>
          </w:p>
        </w:tc>
        <w:tc>
          <w:tcPr>
            <w:tcW w:w="62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62601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本年支出合计</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E43BA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基本支出</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737F70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项目支出</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4FC067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上缴上级支出</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DCE69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经营支出</w:t>
            </w: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3CA40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对附属单位补助支出</w:t>
            </w:r>
          </w:p>
        </w:tc>
      </w:tr>
      <w:tr w14:paraId="24715AF1">
        <w:tblPrEx>
          <w:tblCellMar>
            <w:top w:w="15" w:type="dxa"/>
            <w:left w:w="15" w:type="dxa"/>
            <w:bottom w:w="15" w:type="dxa"/>
            <w:right w:w="15" w:type="dxa"/>
          </w:tblCellMar>
        </w:tblPrEx>
        <w:trPr>
          <w:trHeight w:val="312" w:hRule="atLeast"/>
          <w:tblHeader/>
          <w:jc w:val="center"/>
        </w:trPr>
        <w:tc>
          <w:tcPr>
            <w:tcW w:w="34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978D94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imes New Roman" w:hAnsi="Times New Roman" w:eastAsia="仿宋_GB2312" w:cs="Times New Roman"/>
                <w:b/>
                <w:bCs/>
                <w:color w:val="000000"/>
                <w:kern w:val="0"/>
                <w:sz w:val="22"/>
                <w:szCs w:val="24"/>
                <w:lang w:eastAsia="zh-CN" w:bidi="ar"/>
              </w:rPr>
            </w:pPr>
            <w:r>
              <w:rPr>
                <w:rFonts w:hint="eastAsia" w:ascii="Times New Roman" w:hAnsi="Times New Roman" w:eastAsia="仿宋_GB2312" w:cs="Times New Roman"/>
                <w:b/>
                <w:bCs/>
                <w:color w:val="000000"/>
                <w:kern w:val="0"/>
                <w:sz w:val="22"/>
                <w:szCs w:val="24"/>
                <w:lang w:eastAsia="zh-CN" w:bidi="ar"/>
              </w:rPr>
              <w:t>科目代码</w:t>
            </w:r>
          </w:p>
        </w:tc>
        <w:tc>
          <w:tcPr>
            <w:tcW w:w="1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402C7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imes New Roman" w:hAnsi="Times New Roman" w:eastAsia="仿宋_GB2312" w:cs="Times New Roman"/>
                <w:b/>
                <w:bCs/>
                <w:color w:val="000000"/>
                <w:kern w:val="0"/>
                <w:sz w:val="22"/>
                <w:szCs w:val="24"/>
                <w:lang w:eastAsia="zh-CN" w:bidi="ar"/>
              </w:rPr>
            </w:pPr>
            <w:r>
              <w:rPr>
                <w:rFonts w:hint="eastAsia" w:ascii="Times New Roman" w:hAnsi="Times New Roman" w:eastAsia="仿宋_GB2312" w:cs="Times New Roman"/>
                <w:b/>
                <w:bCs/>
                <w:color w:val="000000"/>
                <w:kern w:val="0"/>
                <w:sz w:val="22"/>
                <w:szCs w:val="24"/>
                <w:lang w:eastAsia="zh-CN" w:bidi="ar"/>
              </w:rPr>
              <w:t>科目名称</w:t>
            </w:r>
          </w:p>
        </w:tc>
        <w:tc>
          <w:tcPr>
            <w:tcW w:w="6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25939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仿宋_GB2312" w:cs="Times New Roman"/>
                <w:color w:val="000000"/>
                <w:sz w:val="22"/>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6CE2B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仿宋_GB2312" w:cs="Times New Roman"/>
                <w:color w:val="000000"/>
                <w:sz w:val="22"/>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BF11F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仿宋_GB2312" w:cs="Times New Roman"/>
                <w:color w:val="000000"/>
                <w:sz w:val="22"/>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5F130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仿宋_GB2312" w:cs="Times New Roman"/>
                <w:color w:val="000000"/>
                <w:sz w:val="22"/>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2B955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仿宋_GB2312" w:cs="Times New Roman"/>
                <w:color w:val="000000"/>
                <w:sz w:val="22"/>
              </w:rPr>
            </w:pP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81CE3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仿宋_GB2312" w:cs="Times New Roman"/>
                <w:color w:val="000000"/>
                <w:sz w:val="22"/>
              </w:rPr>
            </w:pPr>
          </w:p>
        </w:tc>
      </w:tr>
      <w:tr w14:paraId="23BECA31">
        <w:tblPrEx>
          <w:tblCellMar>
            <w:top w:w="15" w:type="dxa"/>
            <w:left w:w="15" w:type="dxa"/>
            <w:bottom w:w="15" w:type="dxa"/>
            <w:right w:w="15" w:type="dxa"/>
          </w:tblCellMar>
        </w:tblPrEx>
        <w:trPr>
          <w:trHeight w:val="450" w:hRule="atLeast"/>
          <w:tblHeader/>
          <w:jc w:val="center"/>
        </w:trPr>
        <w:tc>
          <w:tcPr>
            <w:tcW w:w="166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6148A6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栏次</w:t>
            </w:r>
          </w:p>
        </w:tc>
        <w:tc>
          <w:tcPr>
            <w:tcW w:w="6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12622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1</w:t>
            </w:r>
          </w:p>
        </w:tc>
        <w:tc>
          <w:tcPr>
            <w:tcW w:w="6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A3EC7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2</w:t>
            </w:r>
          </w:p>
        </w:tc>
        <w:tc>
          <w:tcPr>
            <w:tcW w:w="5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A4CE3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3</w:t>
            </w:r>
          </w:p>
        </w:tc>
        <w:tc>
          <w:tcPr>
            <w:tcW w:w="4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88EF4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4</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E48E9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72328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6</w:t>
            </w:r>
          </w:p>
        </w:tc>
      </w:tr>
      <w:tr w14:paraId="36BA0FFD">
        <w:tblPrEx>
          <w:tblCellMar>
            <w:top w:w="15" w:type="dxa"/>
            <w:left w:w="15" w:type="dxa"/>
            <w:bottom w:w="15" w:type="dxa"/>
            <w:right w:w="15" w:type="dxa"/>
          </w:tblCellMar>
        </w:tblPrEx>
        <w:trPr>
          <w:trHeight w:val="450" w:hRule="atLeast"/>
          <w:jc w:val="center"/>
        </w:trPr>
        <w:tc>
          <w:tcPr>
            <w:tcW w:w="16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EA5F4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F0B9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8,745.57</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0B83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2,533.59</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2ED1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6,211.98</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5020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C260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617B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3690B2DA">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3DA78">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206</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5A3A0">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科学技术支出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BB00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1.60</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D39C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2848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1.60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4A2B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D7A4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4221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E951E32">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C368E">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20602</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49C5EB">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基础研究</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0CEF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1.60</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6F83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2D40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1.60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364D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FBCD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1F4D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066B01B">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6D5E">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2060203</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43867">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自然科学基金</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D075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1.60</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427B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8E96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1.60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F59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B54F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F793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0A7A07F">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9D561">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48BEC">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社会保障和就业支出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EF89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581.30</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1684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581.30</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3D19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57C4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B753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7787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31AB6E38">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BABCA">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413264">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行政事业单位养老支出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E7AA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581.30</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D86D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581.30</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7FB2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D2C0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778E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35AC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DB6D026">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F5506">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2080502</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91522E">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事业单位离退休</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919B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380.67</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DCA1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380.67</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D184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17C6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E388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EB34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7DEC216">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081C1">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2080505</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77C04">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机关事业单位基本养老保险缴费支出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301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133.75</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BDEE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133.75</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8A04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04EA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06E9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60EF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AB3C4FE">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06EFB">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2080506</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096DC">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机关事业单位职业年金缴费支出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F61D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66.87</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6DCF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66.87</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663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20FD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0E06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B819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41D09BA">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90F54">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B1D72">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卫生健康支出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59E4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8,021.85</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0DA3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1,811.47</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545B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6,210.38</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4822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59BA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4084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445C637">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A9E24">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21002</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478EB">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公立医院</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0D65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7,364.41</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AA50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1,742.59</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0112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5,621.82</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0F8D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EC76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A7F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67AB3AC">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1E049">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2100202</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18F627">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中医（民族）医院</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1131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7,364.41</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8749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1,742.59</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E2B0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5,621.82</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496F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1EE6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A9AE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2AD537E">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C22CF">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21011</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78974">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行政事业单位医疗</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4BF2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68.88</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F566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68.88</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8EB8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1200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1F87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3F91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1B5A0D9">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E9411">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2101102</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B0B492">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事业单位医疗</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2E13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68.88</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4C3F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68.88</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A975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235D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4864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DAF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B036843">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69005">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21017</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11C65">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中医药事务</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EBE0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09C6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F1E9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E87A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B6CF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E4AD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A68835A">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B5805">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2101704</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8E7935">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中医（民族医）药专项</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66C3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F108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79B4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13D4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BD5E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31FF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90067C7">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C29C">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221</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42CAD">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住房保障支出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33D1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140.82</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0E03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140.82</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60F7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7C83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252B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DE3A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14D41BC">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44EA8">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22102</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387AF">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住房改革支出</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BC94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140.82</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89A8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140.82</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3C7E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F187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6C72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7A49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B835397">
        <w:tblPrEx>
          <w:tblCellMar>
            <w:top w:w="15" w:type="dxa"/>
            <w:left w:w="15" w:type="dxa"/>
            <w:bottom w:w="15" w:type="dxa"/>
            <w:right w:w="15" w:type="dxa"/>
          </w:tblCellMar>
        </w:tblPrEx>
        <w:trPr>
          <w:trHeight w:val="450" w:hRule="atLeast"/>
          <w:jc w:val="center"/>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3E5B9">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2210201</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5CE3A1">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住房公积金</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B311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140.82</w:t>
            </w:r>
          </w:p>
        </w:tc>
        <w:tc>
          <w:tcPr>
            <w:tcW w:w="6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4AB1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140.82</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7E6C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C67C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C5FC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1846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E61A3DD">
        <w:tblPrEx>
          <w:tblCellMar>
            <w:top w:w="15" w:type="dxa"/>
            <w:left w:w="15" w:type="dxa"/>
            <w:bottom w:w="15" w:type="dxa"/>
            <w:right w:w="15" w:type="dxa"/>
          </w:tblCellMar>
        </w:tblPrEx>
        <w:trPr>
          <w:trHeight w:val="630" w:hRule="atLeast"/>
          <w:jc w:val="center"/>
        </w:trPr>
        <w:tc>
          <w:tcPr>
            <w:tcW w:w="5000" w:type="pct"/>
            <w:gridSpan w:val="9"/>
            <w:shd w:val="clear" w:color="auto" w:fill="auto"/>
            <w:vAlign w:val="center"/>
          </w:tcPr>
          <w:p w14:paraId="563F5292">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各项支出情况。</w:t>
            </w:r>
          </w:p>
        </w:tc>
      </w:tr>
    </w:tbl>
    <w:p w14:paraId="1132D167">
      <w:pPr>
        <w:rPr>
          <w:rFonts w:hint="default" w:ascii="Times New Roman" w:hAnsi="Times New Roman" w:eastAsia="仿宋_GB2312" w:cs="Times New Roman"/>
        </w:rPr>
        <w:sectPr>
          <w:pgSz w:w="16838" w:h="11906" w:orient="landscape"/>
          <w:pgMar w:top="1474" w:right="1474" w:bottom="1474" w:left="1474" w:header="851" w:footer="992" w:gutter="0"/>
          <w:cols w:space="425" w:num="1"/>
          <w:rtlGutter w:val="0"/>
          <w:docGrid w:type="lines" w:linePitch="319" w:charSpace="0"/>
        </w:sectPr>
      </w:pPr>
    </w:p>
    <w:tbl>
      <w:tblPr>
        <w:tblStyle w:val="9"/>
        <w:tblW w:w="5131" w:type="pct"/>
        <w:jc w:val="center"/>
        <w:tblLayout w:type="autofit"/>
        <w:tblCellMar>
          <w:top w:w="15" w:type="dxa"/>
          <w:left w:w="15" w:type="dxa"/>
          <w:bottom w:w="15" w:type="dxa"/>
          <w:right w:w="15" w:type="dxa"/>
        </w:tblCellMar>
      </w:tblPr>
      <w:tblGrid>
        <w:gridCol w:w="2573"/>
        <w:gridCol w:w="949"/>
        <w:gridCol w:w="1269"/>
        <w:gridCol w:w="3180"/>
        <w:gridCol w:w="1029"/>
        <w:gridCol w:w="911"/>
        <w:gridCol w:w="94"/>
        <w:gridCol w:w="1271"/>
        <w:gridCol w:w="1423"/>
        <w:gridCol w:w="1586"/>
      </w:tblGrid>
      <w:tr w14:paraId="73156571">
        <w:tblPrEx>
          <w:tblCellMar>
            <w:top w:w="15" w:type="dxa"/>
            <w:left w:w="15" w:type="dxa"/>
            <w:bottom w:w="15" w:type="dxa"/>
            <w:right w:w="15" w:type="dxa"/>
          </w:tblCellMar>
        </w:tblPrEx>
        <w:trPr>
          <w:trHeight w:val="619" w:hRule="atLeast"/>
          <w:tblHeader/>
          <w:jc w:val="center"/>
        </w:trPr>
        <w:tc>
          <w:tcPr>
            <w:tcW w:w="5000" w:type="pct"/>
            <w:gridSpan w:val="10"/>
            <w:tcBorders>
              <w:top w:val="nil"/>
              <w:left w:val="nil"/>
              <w:bottom w:val="nil"/>
              <w:right w:val="nil"/>
            </w:tcBorders>
            <w:shd w:val="clear" w:color="auto" w:fill="FFFFFF"/>
            <w:vAlign w:val="bottom"/>
          </w:tcPr>
          <w:p w14:paraId="514AB422">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color w:val="000000"/>
                <w:kern w:val="0"/>
                <w:sz w:val="24"/>
                <w:szCs w:val="24"/>
                <w:lang w:bidi="ar"/>
              </w:rPr>
            </w:pPr>
            <w:r>
              <w:rPr>
                <w:rFonts w:hint="default" w:ascii="Times New Roman" w:hAnsi="Times New Roman" w:eastAsia="仿宋_GB2312" w:cs="Times New Roman"/>
                <w:b/>
                <w:bCs/>
                <w:color w:val="000000"/>
                <w:kern w:val="0"/>
                <w:sz w:val="32"/>
                <w:szCs w:val="32"/>
                <w:lang w:bidi="ar"/>
              </w:rPr>
              <w:t>财政拨款收入支出决算总表</w:t>
            </w:r>
          </w:p>
        </w:tc>
      </w:tr>
      <w:tr w14:paraId="6651D89A">
        <w:tblPrEx>
          <w:tblCellMar>
            <w:top w:w="15" w:type="dxa"/>
            <w:left w:w="15" w:type="dxa"/>
            <w:bottom w:w="15" w:type="dxa"/>
            <w:right w:w="15" w:type="dxa"/>
          </w:tblCellMar>
        </w:tblPrEx>
        <w:trPr>
          <w:trHeight w:val="347" w:hRule="atLeast"/>
          <w:tblHeader/>
          <w:jc w:val="center"/>
        </w:trPr>
        <w:tc>
          <w:tcPr>
            <w:tcW w:w="1677" w:type="pct"/>
            <w:gridSpan w:val="3"/>
            <w:tcBorders>
              <w:top w:val="nil"/>
              <w:left w:val="nil"/>
              <w:bottom w:val="nil"/>
              <w:right w:val="nil"/>
            </w:tcBorders>
            <w:shd w:val="clear" w:color="auto" w:fill="FFFFFF"/>
            <w:vAlign w:val="center"/>
          </w:tcPr>
          <w:p w14:paraId="57CA6CF6">
            <w:pPr>
              <w:widowControl/>
              <w:jc w:val="right"/>
              <w:textAlignment w:val="center"/>
              <w:rPr>
                <w:rFonts w:hint="default" w:ascii="Times New Roman" w:hAnsi="Times New Roman" w:eastAsia="仿宋_GB2312" w:cs="Times New Roman"/>
                <w:color w:val="000000"/>
                <w:kern w:val="0"/>
                <w:sz w:val="24"/>
                <w:szCs w:val="24"/>
                <w:lang w:bidi="ar"/>
              </w:rPr>
            </w:pPr>
          </w:p>
        </w:tc>
        <w:tc>
          <w:tcPr>
            <w:tcW w:w="3322" w:type="pct"/>
            <w:gridSpan w:val="7"/>
            <w:tcBorders>
              <w:top w:val="nil"/>
              <w:left w:val="nil"/>
              <w:bottom w:val="nil"/>
              <w:right w:val="nil"/>
            </w:tcBorders>
            <w:shd w:val="clear" w:color="auto" w:fill="FFFFFF"/>
            <w:vAlign w:val="center"/>
          </w:tcPr>
          <w:p w14:paraId="1147E51C">
            <w:pPr>
              <w:widowControl/>
              <w:jc w:val="right"/>
              <w:textAlignment w:val="center"/>
              <w:rPr>
                <w:rFonts w:hint="default" w:ascii="Times New Roman" w:hAnsi="Times New Roman" w:eastAsia="仿宋_GB2312" w:cs="Times New Roman"/>
                <w:color w:val="000000"/>
                <w:kern w:val="0"/>
                <w:sz w:val="24"/>
                <w:szCs w:val="24"/>
                <w:lang w:bidi="ar"/>
              </w:rPr>
            </w:pPr>
            <w:r>
              <w:rPr>
                <w:rFonts w:hint="default" w:ascii="Times New Roman" w:hAnsi="Times New Roman" w:eastAsia="仿宋_GB2312" w:cs="Times New Roman"/>
                <w:color w:val="000000"/>
                <w:kern w:val="0"/>
                <w:sz w:val="20"/>
                <w:szCs w:val="20"/>
                <w:lang w:bidi="ar"/>
              </w:rPr>
              <w:t>公开04表</w:t>
            </w:r>
          </w:p>
        </w:tc>
      </w:tr>
      <w:tr w14:paraId="28091A67">
        <w:tblPrEx>
          <w:tblCellMar>
            <w:top w:w="15" w:type="dxa"/>
            <w:left w:w="15" w:type="dxa"/>
            <w:bottom w:w="15" w:type="dxa"/>
            <w:right w:w="15" w:type="dxa"/>
          </w:tblCellMar>
        </w:tblPrEx>
        <w:trPr>
          <w:trHeight w:val="388" w:hRule="atLeast"/>
          <w:tblHeader/>
          <w:jc w:val="center"/>
        </w:trPr>
        <w:tc>
          <w:tcPr>
            <w:tcW w:w="1677" w:type="pct"/>
            <w:gridSpan w:val="3"/>
            <w:tcBorders>
              <w:top w:val="nil"/>
              <w:left w:val="nil"/>
              <w:bottom w:val="nil"/>
              <w:right w:val="nil"/>
            </w:tcBorders>
            <w:shd w:val="clear" w:color="auto" w:fill="FFFFFF"/>
            <w:vAlign w:val="center"/>
          </w:tcPr>
          <w:p w14:paraId="19BF1434">
            <w:pPr>
              <w:widowControl/>
              <w:tabs>
                <w:tab w:val="left" w:pos="1653"/>
              </w:tabs>
              <w:jc w:val="left"/>
              <w:textAlignment w:val="center"/>
              <w:rPr>
                <w:rFonts w:hint="default" w:ascii="Times New Roman" w:hAnsi="Times New Roman" w:eastAsia="仿宋_GB2312" w:cs="Times New Roman"/>
                <w:lang w:val="en-US" w:eastAsia="zh-CN"/>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r>
              <w:rPr>
                <w:rFonts w:hint="eastAsia" w:ascii="Times New Roman" w:hAnsi="Times New Roman" w:eastAsia="仿宋_GB2312" w:cs="Times New Roman"/>
                <w:color w:val="000000"/>
                <w:kern w:val="0"/>
                <w:sz w:val="20"/>
                <w:szCs w:val="20"/>
                <w:lang w:eastAsia="zh-CN" w:bidi="ar"/>
              </w:rPr>
              <w:tab/>
            </w:r>
          </w:p>
        </w:tc>
        <w:tc>
          <w:tcPr>
            <w:tcW w:w="1792" w:type="pct"/>
            <w:gridSpan w:val="3"/>
            <w:tcBorders>
              <w:top w:val="nil"/>
              <w:left w:val="nil"/>
              <w:bottom w:val="nil"/>
              <w:right w:val="nil"/>
            </w:tcBorders>
            <w:shd w:val="clear" w:color="auto" w:fill="FFFFFF"/>
            <w:vAlign w:val="center"/>
          </w:tcPr>
          <w:p w14:paraId="0AA5F689">
            <w:pPr>
              <w:widowControl/>
              <w:jc w:val="center"/>
              <w:textAlignment w:val="center"/>
              <w:rPr>
                <w:rFonts w:hint="default" w:ascii="Times New Roman" w:hAnsi="Times New Roman" w:eastAsia="仿宋_GB2312" w:cs="Times New Roman"/>
              </w:rPr>
            </w:pPr>
            <w:r>
              <w:rPr>
                <w:rFonts w:hint="default" w:ascii="Times New Roman" w:hAnsi="Times New Roman" w:eastAsia="仿宋_GB2312" w:cs="Times New Roman"/>
                <w:color w:val="000000"/>
                <w:kern w:val="0"/>
                <w:sz w:val="20"/>
                <w:szCs w:val="20"/>
                <w:lang w:bidi="ar"/>
              </w:rPr>
              <w:t>2025年度</w:t>
            </w:r>
          </w:p>
        </w:tc>
        <w:tc>
          <w:tcPr>
            <w:tcW w:w="1529" w:type="pct"/>
            <w:gridSpan w:val="4"/>
            <w:tcBorders>
              <w:top w:val="nil"/>
              <w:left w:val="nil"/>
              <w:bottom w:val="nil"/>
              <w:right w:val="nil"/>
            </w:tcBorders>
            <w:shd w:val="clear" w:color="auto" w:fill="FFFFFF"/>
            <w:vAlign w:val="center"/>
          </w:tcPr>
          <w:p w14:paraId="72ED6B82">
            <w:pPr>
              <w:widowControl/>
              <w:jc w:val="right"/>
              <w:textAlignment w:val="center"/>
              <w:rPr>
                <w:rFonts w:hint="default" w:ascii="Times New Roman" w:hAnsi="Times New Roman" w:eastAsia="仿宋_GB2312" w:cs="Times New Roman"/>
              </w:rPr>
            </w:pPr>
            <w:r>
              <w:rPr>
                <w:rFonts w:hint="default" w:ascii="Times New Roman" w:hAnsi="Times New Roman" w:eastAsia="仿宋_GB2312" w:cs="Times New Roman"/>
                <w:color w:val="000000"/>
                <w:kern w:val="0"/>
                <w:sz w:val="20"/>
                <w:szCs w:val="20"/>
                <w:lang w:bidi="ar"/>
              </w:rPr>
              <w:t>单位：万元</w:t>
            </w:r>
          </w:p>
        </w:tc>
      </w:tr>
      <w:tr w14:paraId="0DBAFB75">
        <w:tblPrEx>
          <w:tblCellMar>
            <w:top w:w="15" w:type="dxa"/>
            <w:left w:w="15" w:type="dxa"/>
            <w:bottom w:w="15" w:type="dxa"/>
            <w:right w:w="15" w:type="dxa"/>
          </w:tblCellMar>
        </w:tblPrEx>
        <w:trPr>
          <w:trHeight w:val="535" w:hRule="atLeast"/>
          <w:tblHeader/>
          <w:jc w:val="center"/>
        </w:trPr>
        <w:tc>
          <w:tcPr>
            <w:tcW w:w="1677"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C5EB293">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收入</w:t>
            </w:r>
          </w:p>
        </w:tc>
        <w:tc>
          <w:tcPr>
            <w:tcW w:w="3322" w:type="pct"/>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14:paraId="6F2D01DF">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支出</w:t>
            </w:r>
          </w:p>
        </w:tc>
      </w:tr>
      <w:tr w14:paraId="0BB7C689">
        <w:tblPrEx>
          <w:tblCellMar>
            <w:top w:w="15" w:type="dxa"/>
            <w:left w:w="15" w:type="dxa"/>
            <w:bottom w:w="15" w:type="dxa"/>
            <w:right w:w="15" w:type="dxa"/>
          </w:tblCellMar>
        </w:tblPrEx>
        <w:trPr>
          <w:trHeight w:val="759" w:hRule="atLeast"/>
          <w:tblHeader/>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AB64">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项    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B19BD">
            <w:pPr>
              <w:widowControl/>
              <w:jc w:val="center"/>
              <w:textAlignment w:val="center"/>
              <w:rPr>
                <w:rFonts w:hint="default" w:ascii="Times New Roman" w:hAnsi="Times New Roman" w:eastAsia="仿宋_GB2312" w:cs="Times New Roman"/>
                <w:b/>
                <w:bCs/>
                <w:color w:val="000000"/>
                <w:sz w:val="22"/>
                <w:szCs w:val="20"/>
              </w:rPr>
            </w:pPr>
            <w:r>
              <w:rPr>
                <w:rFonts w:hint="default" w:ascii="Times New Roman" w:hAnsi="Times New Roman" w:eastAsia="仿宋_GB2312" w:cs="Times New Roman"/>
                <w:b/>
                <w:bCs/>
                <w:color w:val="000000"/>
                <w:kern w:val="0"/>
                <w:sz w:val="22"/>
                <w:szCs w:val="20"/>
                <w:lang w:bidi="ar"/>
              </w:rPr>
              <w:t>行次</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B5441">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金额</w:t>
            </w: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CFE13">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项    目</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0A6D">
            <w:pPr>
              <w:widowControl/>
              <w:jc w:val="center"/>
              <w:textAlignment w:val="center"/>
              <w:rPr>
                <w:rFonts w:hint="default" w:ascii="Times New Roman" w:hAnsi="Times New Roman" w:eastAsia="仿宋_GB2312" w:cs="Times New Roman"/>
                <w:b/>
                <w:bCs/>
                <w:color w:val="000000"/>
                <w:sz w:val="22"/>
                <w:szCs w:val="20"/>
              </w:rPr>
            </w:pPr>
            <w:r>
              <w:rPr>
                <w:rFonts w:hint="default" w:ascii="Times New Roman" w:hAnsi="Times New Roman" w:eastAsia="仿宋_GB2312" w:cs="Times New Roman"/>
                <w:b/>
                <w:bCs/>
                <w:color w:val="000000"/>
                <w:kern w:val="0"/>
                <w:sz w:val="22"/>
                <w:szCs w:val="20"/>
                <w:lang w:bidi="ar"/>
              </w:rPr>
              <w:t>行次</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32FFA">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合计</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3AA2B">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一般公共预算财政拨款</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9E27E">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政府性基金预算财政拨款</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49450">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szCs w:val="24"/>
                <w:lang w:bidi="ar"/>
              </w:rPr>
              <w:t>国有资本经营预算财政拨款</w:t>
            </w:r>
          </w:p>
        </w:tc>
      </w:tr>
      <w:tr w14:paraId="748D505F">
        <w:tblPrEx>
          <w:tblCellMar>
            <w:top w:w="15" w:type="dxa"/>
            <w:left w:w="15" w:type="dxa"/>
            <w:bottom w:w="15" w:type="dxa"/>
            <w:right w:w="15" w:type="dxa"/>
          </w:tblCellMar>
        </w:tblPrEx>
        <w:trPr>
          <w:trHeight w:val="535" w:hRule="atLeast"/>
          <w:tblHeader/>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54C6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栏    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8C392">
            <w:pPr>
              <w:jc w:val="center"/>
              <w:rPr>
                <w:rFonts w:hint="default" w:ascii="Times New Roman" w:hAnsi="Times New Roman" w:eastAsia="仿宋_GB2312" w:cs="Times New Roman"/>
                <w:color w:val="000000"/>
                <w:sz w:val="22"/>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B96E">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1</w:t>
            </w: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03E4F">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栏    次</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F7015">
            <w:pPr>
              <w:jc w:val="center"/>
              <w:rPr>
                <w:rFonts w:hint="default" w:ascii="Times New Roman" w:hAnsi="Times New Roman" w:eastAsia="仿宋_GB2312" w:cs="Times New Roman"/>
                <w:color w:val="000000"/>
                <w:sz w:val="22"/>
              </w:rPr>
            </w:pP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7A6CC">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57298">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3</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9CFD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4</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AF91A">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szCs w:val="24"/>
                <w:lang w:bidi="ar"/>
              </w:rPr>
              <w:t>5</w:t>
            </w:r>
          </w:p>
        </w:tc>
      </w:tr>
      <w:tr w14:paraId="57FE072C">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4DCDB">
            <w:pPr>
              <w:widowControl/>
              <w:jc w:val="left"/>
              <w:textAlignment w:val="center"/>
              <w:rPr>
                <w:rFonts w:hint="default" w:ascii="Times New Roman" w:hAnsi="Times New Roman" w:eastAsia="仿宋_GB2312" w:cs="Times New Roman"/>
                <w:color w:val="000000"/>
                <w:sz w:val="11"/>
                <w:szCs w:val="11"/>
              </w:rPr>
            </w:pPr>
            <w:r>
              <w:rPr>
                <w:rFonts w:hint="default" w:ascii="Times New Roman" w:hAnsi="Times New Roman" w:eastAsia="仿宋_GB2312" w:cs="Times New Roman"/>
                <w:sz w:val="18"/>
                <w:szCs w:val="21"/>
              </w:rPr>
              <w:t>一、一般公共预算财政拨款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7EEBF">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E7F7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2,661.66</w:t>
            </w: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913E3">
            <w:pPr>
              <w:widowControl/>
              <w:jc w:val="left"/>
              <w:textAlignment w:val="center"/>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一、一般公共服务支出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136D8">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33</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D754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40E3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E9C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90D1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2D2273D">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2B9A7">
            <w:pPr>
              <w:widowControl/>
              <w:jc w:val="left"/>
              <w:textAlignment w:val="center"/>
              <w:rPr>
                <w:rFonts w:hint="default" w:ascii="Times New Roman" w:hAnsi="Times New Roman" w:eastAsia="仿宋_GB2312" w:cs="Times New Roman"/>
                <w:color w:val="000000"/>
                <w:sz w:val="11"/>
                <w:szCs w:val="11"/>
              </w:rPr>
            </w:pPr>
            <w:r>
              <w:rPr>
                <w:rFonts w:hint="default" w:ascii="Times New Roman" w:hAnsi="Times New Roman" w:eastAsia="仿宋_GB2312" w:cs="Times New Roman"/>
                <w:sz w:val="18"/>
                <w:szCs w:val="21"/>
              </w:rPr>
              <w:t>二、政府性基金预算财政拨款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1AE5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635C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F9743">
            <w:pPr>
              <w:widowControl/>
              <w:jc w:val="left"/>
              <w:textAlignment w:val="center"/>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二、外交支出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4CABE">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34</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3EC2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3A8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B0BD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7345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543B28B">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60B99">
            <w:pPr>
              <w:widowControl/>
              <w:jc w:val="left"/>
              <w:textAlignment w:val="center"/>
              <w:rPr>
                <w:rFonts w:hint="default" w:ascii="Times New Roman" w:hAnsi="Times New Roman" w:eastAsia="仿宋_GB2312" w:cs="Times New Roman"/>
                <w:color w:val="000000"/>
                <w:sz w:val="11"/>
                <w:szCs w:val="11"/>
              </w:rPr>
            </w:pPr>
            <w:r>
              <w:rPr>
                <w:rFonts w:hint="default" w:ascii="Times New Roman" w:hAnsi="Times New Roman" w:eastAsia="仿宋_GB2312" w:cs="Times New Roman"/>
                <w:sz w:val="16"/>
                <w:szCs w:val="20"/>
              </w:rPr>
              <w:t>三、国有资本经营预算财政拨款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12B4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3B2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5AA00">
            <w:pPr>
              <w:widowControl/>
              <w:jc w:val="left"/>
              <w:textAlignment w:val="center"/>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三、国防支出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7D7B5">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35</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7E68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A066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386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A2C6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9121819">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71CEC">
            <w:pPr>
              <w:jc w:val="left"/>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117D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DB44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10A8A">
            <w:pPr>
              <w:widowControl/>
              <w:jc w:val="left"/>
              <w:textAlignment w:val="center"/>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四、公共安全支出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8B1D7">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36</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E3D9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2DE5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3985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FE53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D3CCFB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5DB1D">
            <w:pPr>
              <w:jc w:val="left"/>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53E7">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5936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192FB">
            <w:pPr>
              <w:widowControl/>
              <w:jc w:val="left"/>
              <w:textAlignment w:val="center"/>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五、教育支出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7BD9F">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37</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45EB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ED97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8FFE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0B41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66A9CF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209C2">
            <w:pPr>
              <w:jc w:val="left"/>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934B5">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32A1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161B1">
            <w:pPr>
              <w:widowControl/>
              <w:jc w:val="left"/>
              <w:textAlignment w:val="center"/>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六、科学技术支出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F1F91">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38</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229B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5FE8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CAE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317D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6446F0F">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8D53">
            <w:pPr>
              <w:jc w:val="left"/>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E0B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1275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12D22">
            <w:pPr>
              <w:widowControl/>
              <w:jc w:val="left"/>
              <w:textAlignment w:val="center"/>
              <w:rPr>
                <w:rFonts w:hint="default" w:ascii="Times New Roman" w:hAnsi="Times New Roman" w:eastAsia="仿宋_GB2312" w:cs="Times New Roman"/>
                <w:color w:val="000000"/>
                <w:sz w:val="15"/>
                <w:szCs w:val="15"/>
              </w:rPr>
            </w:pPr>
            <w:r>
              <w:rPr>
                <w:rFonts w:hint="default" w:ascii="Times New Roman" w:hAnsi="Times New Roman" w:eastAsia="仿宋_GB2312" w:cs="Times New Roman"/>
                <w:sz w:val="20"/>
              </w:rPr>
              <w:t>七、文化旅游体育与传媒支出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4B1DB">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39</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2CD4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A6AE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E25F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A0BB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1E91D6D">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ADD09">
            <w:pPr>
              <w:jc w:val="left"/>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59FA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E73B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96489">
            <w:pPr>
              <w:jc w:val="left"/>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八、社会保障和就业支出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410F3">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40</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E340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538.05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CDDA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538.05</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07BC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C223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43D524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7A80C">
            <w:pPr>
              <w:widowControl/>
              <w:jc w:val="center"/>
              <w:textAlignment w:val="center"/>
              <w:rPr>
                <w:rFonts w:hint="default" w:ascii="Times New Roman" w:hAnsi="Times New Roman" w:eastAsia="仿宋_GB2312" w:cs="Times New Roman"/>
                <w:b/>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A3AE7">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02EC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016CE">
            <w:pPr>
              <w:widowControl/>
              <w:jc w:val="left"/>
              <w:textAlignment w:val="center"/>
              <w:rPr>
                <w:rFonts w:hint="default" w:ascii="Times New Roman" w:hAnsi="Times New Roman" w:eastAsia="仿宋_GB2312" w:cs="Times New Roman"/>
                <w:b/>
                <w:color w:val="000000"/>
                <w:sz w:val="13"/>
                <w:szCs w:val="13"/>
              </w:rPr>
            </w:pPr>
            <w:r>
              <w:rPr>
                <w:rFonts w:hint="default" w:ascii="Times New Roman" w:hAnsi="Times New Roman" w:eastAsia="仿宋_GB2312" w:cs="Times New Roman"/>
                <w:sz w:val="20"/>
              </w:rPr>
              <w:t>九、卫生健康支出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FB0BD">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41</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6ED0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2,071.61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EFFD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2,071.61</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6B09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8310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C78C737">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E8EB6">
            <w:pPr>
              <w:widowControl/>
              <w:jc w:val="center"/>
              <w:textAlignment w:val="center"/>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C2B92">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10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48A6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A4259">
            <w:pPr>
              <w:widowControl/>
              <w:jc w:val="left"/>
              <w:textAlignment w:val="center"/>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十、节能环保支出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EB3C8">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42</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9585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BF4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13A4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3025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8198286">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B0009">
            <w:pPr>
              <w:widowControl/>
              <w:jc w:val="center"/>
              <w:textAlignment w:val="center"/>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D10B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11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47BE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E9AB3">
            <w:pPr>
              <w:jc w:val="left"/>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十一、城乡社区支出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6FB65">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43</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1D31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16C6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51E1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7055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FA3106F">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5AB12">
            <w:pPr>
              <w:widowControl/>
              <w:jc w:val="center"/>
              <w:textAlignment w:val="center"/>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A25B0">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12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5C54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A11FC">
            <w:pPr>
              <w:jc w:val="left"/>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十二、农林水支出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67796">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44</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F1F0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BD37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2088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6CC3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388E2DAF">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F454E">
            <w:pPr>
              <w:widowControl/>
              <w:jc w:val="center"/>
              <w:textAlignment w:val="center"/>
              <w:rPr>
                <w:rFonts w:hint="default" w:ascii="Times New Roman" w:hAnsi="Times New Roman" w:eastAsia="仿宋_GB2312" w:cs="Times New Roman"/>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08AB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13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C5C0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2786F">
            <w:pPr>
              <w:jc w:val="left"/>
              <w:rPr>
                <w:rFonts w:hint="default" w:ascii="Times New Roman" w:hAnsi="Times New Roman" w:eastAsia="仿宋_GB2312" w:cs="Times New Roman"/>
                <w:color w:val="000000"/>
                <w:sz w:val="13"/>
                <w:szCs w:val="13"/>
              </w:rPr>
            </w:pPr>
            <w:r>
              <w:rPr>
                <w:rFonts w:hint="default" w:ascii="Times New Roman" w:hAnsi="Times New Roman" w:eastAsia="仿宋_GB2312" w:cs="Times New Roman"/>
                <w:sz w:val="20"/>
              </w:rPr>
              <w:t>十三、交通运输支出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49709">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45</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EBEA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A433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E858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4F65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B4A1052">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7DCD0F">
            <w:pPr>
              <w:widowControl/>
              <w:jc w:val="center"/>
              <w:textAlignment w:val="center"/>
              <w:rPr>
                <w:rFonts w:hint="default" w:ascii="Times New Roman" w:hAnsi="Times New Roman" w:eastAsia="仿宋_GB2312" w:cs="Times New Roman"/>
                <w:b/>
                <w:color w:val="000000"/>
                <w:sz w:val="15"/>
                <w:szCs w:val="15"/>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91713A">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rPr>
              <w:t>14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211D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D12355">
            <w:pPr>
              <w:widowControl/>
              <w:jc w:val="left"/>
              <w:textAlignment w:val="center"/>
              <w:rPr>
                <w:rFonts w:hint="default" w:ascii="Times New Roman" w:hAnsi="Times New Roman" w:eastAsia="仿宋_GB2312" w:cs="Times New Roman"/>
                <w:b/>
                <w:color w:val="000000"/>
                <w:sz w:val="13"/>
                <w:szCs w:val="13"/>
              </w:rPr>
            </w:pPr>
            <w:r>
              <w:rPr>
                <w:rFonts w:hint="default" w:ascii="Times New Roman" w:hAnsi="Times New Roman" w:eastAsia="仿宋_GB2312" w:cs="Times New Roman"/>
                <w:sz w:val="18"/>
                <w:szCs w:val="21"/>
              </w:rPr>
              <w:t>十四、资源勘探工业信息等支出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67B2F7">
            <w:pPr>
              <w:widowControl/>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sz w:val="20"/>
              </w:rPr>
              <w:t>46</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41A4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A4A0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F315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5C62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2097DD7">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657ADB">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4C655A">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67B5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A4A9D5">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十五、商业服务业等支出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8F0989">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47</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D3BE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40B3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203A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1060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3AD5B8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918982">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FB9EA7">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295B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65F788">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十六、金融支出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D5A451">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48</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A29C0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441B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28FB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5D13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ED8A144">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C2FDEC">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5B9005">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F541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8C0018">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十七、援助其他地区支出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8EECA9">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49</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C101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63A4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17D4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1F13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2B5BA68">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6C8845">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D2C5C6">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BAFE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C6439A">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18"/>
                <w:szCs w:val="21"/>
              </w:rPr>
              <w:t>十八、自然资源海洋气象等支出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830078">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50</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216F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9197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7E0B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20A8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3B1035CB">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EA2906">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C6F8C8">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19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4405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6503D2">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十九、住房保障支出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C53B6C">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51</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777A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79.41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310A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79.41</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87BB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5564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DECC9E2">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F0BF24">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FECAD0">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B3B2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E8573C">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二十、粮油物资储备支出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7CCCE7">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52</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F6DE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4BC4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6D87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F6D1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0A446399">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6D8768">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F29593">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494C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08B51B">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18"/>
                <w:szCs w:val="21"/>
              </w:rPr>
              <w:t>二十一、国有资本经营预算支出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12CF1D">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53</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56E03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467A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E5E8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6EE7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E8E1B7D">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C73A3F">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3981A3">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95D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D267E2">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16"/>
                <w:szCs w:val="20"/>
              </w:rPr>
              <w:t>二十二、灾害防治及应急管理支出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D34594">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54</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A3BD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2565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6C29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2719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4914A8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CD6CC2">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030222">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83A9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E31FE0">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二十三、其他支出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379A1F">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55</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A76D2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4A48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6486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CCFD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1BA0BDB">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D24335">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A32FA1">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FE7A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D97457">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二十四、债务还本支出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E47F85">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56</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E805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2AAF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935F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4593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41CD94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E9F9FC">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1C7734">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24FB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F4D41F">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二十五、债务付息支出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C43768">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57</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13BC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D3EA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A1BC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66D8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F83DE5F">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9F11C1">
            <w:pPr>
              <w:widowControl/>
              <w:jc w:val="center"/>
              <w:textAlignment w:val="center"/>
              <w:rPr>
                <w:rFonts w:hint="default" w:ascii="Times New Roman" w:hAnsi="Times New Roman" w:eastAsia="仿宋_GB2312" w:cs="Times New Roman"/>
                <w:b/>
                <w:color w:val="000000"/>
                <w:kern w:val="0"/>
                <w:sz w:val="22"/>
                <w:lang w:bidi="ar"/>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36EEF1">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2690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AFD848">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16"/>
                <w:szCs w:val="20"/>
              </w:rPr>
              <w:t>二十六、抗疫特别国债安排的支出</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B95592">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58</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5028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1214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C8C0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F02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04B32B9">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125AAB">
            <w:pPr>
              <w:widowControl/>
              <w:jc w:val="center"/>
              <w:textAlignment w:val="center"/>
              <w:rPr>
                <w:rFonts w:hint="default" w:ascii="Times New Roman" w:hAnsi="Times New Roman" w:eastAsia="仿宋_GB2312" w:cs="Times New Roman"/>
                <w:b/>
                <w:color w:val="000000"/>
                <w:kern w:val="0"/>
                <w:sz w:val="22"/>
                <w:lang w:bidi="ar"/>
              </w:rPr>
            </w:pPr>
            <w:r>
              <w:rPr>
                <w:rFonts w:hint="default" w:ascii="Times New Roman" w:hAnsi="Times New Roman" w:eastAsia="仿宋_GB2312" w:cs="Times New Roman"/>
                <w:b/>
                <w:bCs/>
              </w:rPr>
              <w:t>本年收入合计</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87D41F">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6C6F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2,661.66</w:t>
            </w: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63318F">
            <w:pPr>
              <w:widowControl/>
              <w:jc w:val="center"/>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b/>
                <w:bCs/>
                <w:sz w:val="20"/>
              </w:rPr>
              <w:t>本年支出合计</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83D4CD">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59</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D5A1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2,689.06</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681F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2,689.06</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9E5A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0E4B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168015B">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0CEC37">
            <w:pPr>
              <w:widowControl/>
              <w:textAlignment w:val="center"/>
              <w:rPr>
                <w:rFonts w:hint="default" w:ascii="Times New Roman" w:hAnsi="Times New Roman" w:eastAsia="仿宋_GB2312" w:cs="Times New Roman"/>
                <w:b/>
                <w:color w:val="000000"/>
                <w:kern w:val="0"/>
                <w:sz w:val="20"/>
                <w:szCs w:val="20"/>
                <w:lang w:bidi="ar"/>
              </w:rPr>
            </w:pPr>
            <w:r>
              <w:rPr>
                <w:rFonts w:hint="default" w:ascii="Times New Roman" w:hAnsi="Times New Roman" w:eastAsia="仿宋_GB2312" w:cs="Times New Roman"/>
                <w:sz w:val="18"/>
                <w:szCs w:val="21"/>
              </w:rPr>
              <w:t>年初财政拨款结转和结余</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FD9462">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7A75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27.40</w:t>
            </w: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79776B">
            <w:pPr>
              <w:widowControl/>
              <w:jc w:val="left"/>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sz w:val="20"/>
              </w:rPr>
              <w:t>年末财政拨款结转和结余</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CA6B83">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60</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D7F186">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382FD">
            <w:pPr>
              <w:jc w:val="both"/>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2B0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4449D">
            <w:pPr>
              <w:jc w:val="both"/>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2B85F852">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50543">
            <w:pPr>
              <w:widowControl/>
              <w:textAlignment w:val="center"/>
              <w:rPr>
                <w:rFonts w:hint="default" w:ascii="Times New Roman" w:hAnsi="Times New Roman" w:eastAsia="仿宋_GB2312" w:cs="Times New Roman"/>
                <w:b/>
                <w:color w:val="000000"/>
                <w:kern w:val="0"/>
                <w:sz w:val="20"/>
                <w:szCs w:val="20"/>
                <w:lang w:bidi="ar"/>
              </w:rPr>
            </w:pPr>
            <w:r>
              <w:rPr>
                <w:rFonts w:hint="default" w:ascii="Times New Roman" w:hAnsi="Times New Roman" w:eastAsia="仿宋_GB2312" w:cs="Times New Roman"/>
                <w:sz w:val="18"/>
                <w:szCs w:val="21"/>
              </w:rPr>
              <w:t xml:space="preserve">  一般公共预算财政拨款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79A5E5">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29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64FA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27.40</w:t>
            </w: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627293">
            <w:pPr>
              <w:widowControl/>
              <w:jc w:val="left"/>
              <w:textAlignment w:val="center"/>
              <w:rPr>
                <w:rFonts w:hint="default" w:ascii="Times New Roman" w:hAnsi="Times New Roman" w:eastAsia="仿宋_GB2312" w:cs="Times New Roman"/>
                <w:b/>
                <w:color w:val="000000"/>
                <w:kern w:val="0"/>
                <w:szCs w:val="21"/>
                <w:lang w:bidi="ar"/>
              </w:rPr>
            </w:pP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EAD2F2">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61</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7C8E9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B69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53B9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1B4D1">
            <w:pPr>
              <w:jc w:val="lef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508A7D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A2151D">
            <w:pPr>
              <w:widowControl/>
              <w:textAlignment w:val="center"/>
              <w:rPr>
                <w:rFonts w:hint="default" w:ascii="Times New Roman" w:hAnsi="Times New Roman" w:eastAsia="仿宋_GB2312" w:cs="Times New Roman"/>
                <w:b/>
                <w:color w:val="000000"/>
                <w:kern w:val="0"/>
                <w:sz w:val="20"/>
                <w:szCs w:val="20"/>
                <w:lang w:bidi="ar"/>
              </w:rPr>
            </w:pPr>
            <w:r>
              <w:rPr>
                <w:rFonts w:hint="default" w:ascii="Times New Roman" w:hAnsi="Times New Roman" w:eastAsia="仿宋_GB2312" w:cs="Times New Roman"/>
                <w:sz w:val="18"/>
                <w:szCs w:val="21"/>
              </w:rPr>
              <w:t xml:space="preserve">  政府性基金预算财政拨款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E4CD79">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30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35A4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B5ED82">
            <w:pPr>
              <w:widowControl/>
              <w:jc w:val="left"/>
              <w:textAlignment w:val="center"/>
              <w:rPr>
                <w:rFonts w:hint="default" w:ascii="Times New Roman" w:hAnsi="Times New Roman" w:eastAsia="仿宋_GB2312" w:cs="Times New Roman"/>
                <w:b/>
                <w:color w:val="000000"/>
                <w:kern w:val="0"/>
                <w:szCs w:val="21"/>
                <w:lang w:bidi="ar"/>
              </w:rPr>
            </w:pP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71EFC6">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62</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B04B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6137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B060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9CE75">
            <w:pPr>
              <w:jc w:val="lef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6B119EF">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918451">
            <w:pPr>
              <w:widowControl/>
              <w:textAlignment w:val="center"/>
              <w:rPr>
                <w:rFonts w:hint="default" w:ascii="Times New Roman" w:hAnsi="Times New Roman" w:eastAsia="仿宋_GB2312" w:cs="Times New Roman"/>
                <w:b/>
                <w:color w:val="000000"/>
                <w:kern w:val="0"/>
                <w:sz w:val="20"/>
                <w:szCs w:val="20"/>
                <w:lang w:bidi="ar"/>
              </w:rPr>
            </w:pPr>
            <w:r>
              <w:rPr>
                <w:rFonts w:hint="default" w:ascii="Times New Roman" w:hAnsi="Times New Roman" w:eastAsia="仿宋_GB2312" w:cs="Times New Roman"/>
                <w:sz w:val="16"/>
                <w:szCs w:val="20"/>
              </w:rPr>
              <w:t xml:space="preserve">  国有资本经营预算财政拨款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376EDA">
            <w:pPr>
              <w:widowControl/>
              <w:jc w:val="center"/>
              <w:textAlignment w:val="center"/>
              <w:rPr>
                <w:rFonts w:hint="default" w:ascii="Times New Roman" w:hAnsi="Times New Roman" w:eastAsia="仿宋_GB2312" w:cs="Times New Roman"/>
                <w:color w:val="000000"/>
                <w:kern w:val="0"/>
                <w:sz w:val="22"/>
                <w:lang w:bidi="ar"/>
              </w:rPr>
            </w:pPr>
            <w:r>
              <w:rPr>
                <w:rFonts w:hint="default" w:ascii="Times New Roman" w:hAnsi="Times New Roman" w:eastAsia="仿宋_GB2312" w:cs="Times New Roman"/>
              </w:rPr>
              <w:t>31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D2EA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2F2A4A">
            <w:pPr>
              <w:widowControl/>
              <w:jc w:val="left"/>
              <w:textAlignment w:val="center"/>
              <w:rPr>
                <w:rFonts w:hint="default" w:ascii="Times New Roman" w:hAnsi="Times New Roman" w:eastAsia="仿宋_GB2312" w:cs="Times New Roman"/>
                <w:b/>
                <w:color w:val="000000"/>
                <w:kern w:val="0"/>
                <w:szCs w:val="21"/>
                <w:lang w:bidi="ar"/>
              </w:rPr>
            </w:pP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4680CF">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63</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F213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6391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E47F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D460B">
            <w:pPr>
              <w:jc w:val="lef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B22E063">
        <w:tblPrEx>
          <w:tblCellMar>
            <w:top w:w="15" w:type="dxa"/>
            <w:left w:w="15" w:type="dxa"/>
            <w:bottom w:w="15" w:type="dxa"/>
            <w:right w:w="15" w:type="dxa"/>
          </w:tblCellMar>
        </w:tblPrEx>
        <w:trPr>
          <w:trHeight w:val="442" w:hRule="exact"/>
          <w:jc w:val="center"/>
        </w:trPr>
        <w:tc>
          <w:tcPr>
            <w:tcW w:w="9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9AE5E5">
            <w:pPr>
              <w:widowControl/>
              <w:jc w:val="center"/>
              <w:textAlignment w:val="center"/>
              <w:rPr>
                <w:rFonts w:hint="default" w:ascii="Times New Roman" w:hAnsi="Times New Roman" w:eastAsia="仿宋_GB2312" w:cs="Times New Roman"/>
                <w:b/>
                <w:color w:val="000000"/>
                <w:kern w:val="0"/>
                <w:sz w:val="22"/>
                <w:lang w:bidi="ar"/>
              </w:rPr>
            </w:pPr>
            <w:r>
              <w:rPr>
                <w:rFonts w:hint="default" w:ascii="Times New Roman" w:hAnsi="Times New Roman" w:eastAsia="仿宋_GB2312" w:cs="Times New Roman"/>
                <w:b/>
                <w:bCs/>
              </w:rPr>
              <w:t>总计</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E92648">
            <w:pPr>
              <w:widowControl/>
              <w:jc w:val="center"/>
              <w:textAlignment w:val="center"/>
              <w:rPr>
                <w:rFonts w:hint="default" w:ascii="Times New Roman" w:hAnsi="Times New Roman" w:eastAsia="仿宋_GB2312" w:cs="Times New Roman"/>
              </w:rPr>
            </w:pPr>
            <w:r>
              <w:rPr>
                <w:rFonts w:hint="default" w:ascii="Times New Roman" w:hAnsi="Times New Roman" w:eastAsia="仿宋_GB2312" w:cs="Times New Roman"/>
              </w:rPr>
              <w:t>32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59FD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2,689.06</w:t>
            </w:r>
          </w:p>
        </w:tc>
        <w:tc>
          <w:tcPr>
            <w:tcW w:w="11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20C4ED">
            <w:pPr>
              <w:widowControl/>
              <w:jc w:val="center"/>
              <w:textAlignment w:val="center"/>
              <w:rPr>
                <w:rFonts w:hint="default" w:ascii="Times New Roman" w:hAnsi="Times New Roman" w:eastAsia="仿宋_GB2312" w:cs="Times New Roman"/>
                <w:b/>
                <w:color w:val="000000"/>
                <w:kern w:val="0"/>
                <w:szCs w:val="21"/>
                <w:lang w:bidi="ar"/>
              </w:rPr>
            </w:pPr>
            <w:r>
              <w:rPr>
                <w:rFonts w:hint="default" w:ascii="Times New Roman" w:hAnsi="Times New Roman" w:eastAsia="仿宋_GB2312" w:cs="Times New Roman"/>
                <w:b/>
                <w:bCs/>
                <w:sz w:val="20"/>
              </w:rPr>
              <w:t>总计</w:t>
            </w:r>
          </w:p>
        </w:tc>
        <w:tc>
          <w:tcPr>
            <w:tcW w:w="3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458EB7">
            <w:pPr>
              <w:widowControl/>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sz w:val="20"/>
              </w:rPr>
              <w:t>64</w:t>
            </w:r>
          </w:p>
        </w:tc>
        <w:tc>
          <w:tcPr>
            <w:tcW w:w="3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1A77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2,689.06</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FC0E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2,689.06</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265A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1FE4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04B0F3E">
        <w:tblPrEx>
          <w:tblCellMar>
            <w:top w:w="15" w:type="dxa"/>
            <w:left w:w="15" w:type="dxa"/>
            <w:bottom w:w="15" w:type="dxa"/>
            <w:right w:w="15" w:type="dxa"/>
          </w:tblCellMar>
        </w:tblPrEx>
        <w:trPr>
          <w:trHeight w:val="843" w:hRule="atLeast"/>
          <w:jc w:val="center"/>
        </w:trPr>
        <w:tc>
          <w:tcPr>
            <w:tcW w:w="5000" w:type="pct"/>
            <w:gridSpan w:val="10"/>
            <w:shd w:val="clear" w:color="auto" w:fill="auto"/>
            <w:vAlign w:val="center"/>
          </w:tcPr>
          <w:p w14:paraId="2554C2FF">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一般公共预算财政拨款、政府性基金预算财政拨款和国有资本经营预算财政拨款的总收支和年末结转结余情况。</w:t>
            </w:r>
          </w:p>
        </w:tc>
      </w:tr>
    </w:tbl>
    <w:p w14:paraId="65155CC5">
      <w:pPr>
        <w:rPr>
          <w:rFonts w:hint="default" w:ascii="Times New Roman" w:hAnsi="Times New Roman" w:eastAsia="仿宋_GB2312" w:cs="Times New Roman"/>
        </w:rPr>
      </w:pPr>
    </w:p>
    <w:tbl>
      <w:tblPr>
        <w:tblStyle w:val="9"/>
        <w:tblW w:w="5030" w:type="pct"/>
        <w:jc w:val="center"/>
        <w:tblLayout w:type="autofit"/>
        <w:tblCellMar>
          <w:top w:w="15" w:type="dxa"/>
          <w:left w:w="15" w:type="dxa"/>
          <w:bottom w:w="15" w:type="dxa"/>
          <w:right w:w="15" w:type="dxa"/>
        </w:tblCellMar>
      </w:tblPr>
      <w:tblGrid>
        <w:gridCol w:w="1160"/>
        <w:gridCol w:w="90"/>
        <w:gridCol w:w="3866"/>
        <w:gridCol w:w="78"/>
        <w:gridCol w:w="2373"/>
        <w:gridCol w:w="78"/>
        <w:gridCol w:w="3006"/>
        <w:gridCol w:w="78"/>
        <w:gridCol w:w="3188"/>
        <w:gridCol w:w="87"/>
      </w:tblGrid>
      <w:tr w14:paraId="2DC12E37">
        <w:tblPrEx>
          <w:tblCellMar>
            <w:top w:w="15" w:type="dxa"/>
            <w:left w:w="15" w:type="dxa"/>
            <w:bottom w:w="15" w:type="dxa"/>
            <w:right w:w="15" w:type="dxa"/>
          </w:tblCellMar>
        </w:tblPrEx>
        <w:trPr>
          <w:gridAfter w:val="1"/>
          <w:wAfter w:w="31" w:type="pct"/>
          <w:trHeight w:val="628" w:hRule="atLeast"/>
          <w:tblHeader/>
          <w:jc w:val="center"/>
        </w:trPr>
        <w:tc>
          <w:tcPr>
            <w:tcW w:w="4968" w:type="pct"/>
            <w:gridSpan w:val="9"/>
            <w:shd w:val="clear" w:color="auto" w:fill="FFFFFF"/>
            <w:vAlign w:val="center"/>
          </w:tcPr>
          <w:p w14:paraId="1387CDE9">
            <w:pPr>
              <w:widowControl/>
              <w:jc w:val="center"/>
              <w:textAlignment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kern w:val="0"/>
                <w:sz w:val="32"/>
                <w:szCs w:val="32"/>
                <w:lang w:bidi="ar"/>
              </w:rPr>
              <w:t>一般公共预算财政拨款支出决算表</w:t>
            </w:r>
          </w:p>
        </w:tc>
      </w:tr>
      <w:tr w14:paraId="71480E52">
        <w:tblPrEx>
          <w:tblCellMar>
            <w:top w:w="15" w:type="dxa"/>
            <w:left w:w="15" w:type="dxa"/>
            <w:bottom w:w="15" w:type="dxa"/>
            <w:right w:w="15" w:type="dxa"/>
          </w:tblCellMar>
        </w:tblPrEx>
        <w:trPr>
          <w:trHeight w:val="286" w:hRule="atLeast"/>
          <w:tblHeader/>
          <w:jc w:val="center"/>
        </w:trPr>
        <w:tc>
          <w:tcPr>
            <w:tcW w:w="414" w:type="pct"/>
            <w:shd w:val="clear" w:color="auto" w:fill="FFFFFF"/>
            <w:vAlign w:val="center"/>
          </w:tcPr>
          <w:p w14:paraId="06B9838B">
            <w:pPr>
              <w:jc w:val="center"/>
              <w:rPr>
                <w:rFonts w:hint="default" w:ascii="Times New Roman" w:hAnsi="Times New Roman" w:eastAsia="仿宋_GB2312" w:cs="Times New Roman"/>
                <w:color w:val="000000"/>
                <w:sz w:val="20"/>
                <w:szCs w:val="20"/>
              </w:rPr>
            </w:pPr>
          </w:p>
        </w:tc>
        <w:tc>
          <w:tcPr>
            <w:tcW w:w="32" w:type="pct"/>
            <w:shd w:val="clear" w:color="auto" w:fill="FFFFFF"/>
            <w:vAlign w:val="center"/>
          </w:tcPr>
          <w:p w14:paraId="783069F1">
            <w:pPr>
              <w:jc w:val="center"/>
              <w:rPr>
                <w:rFonts w:hint="default" w:ascii="Times New Roman" w:hAnsi="Times New Roman" w:eastAsia="仿宋_GB2312" w:cs="Times New Roman"/>
                <w:color w:val="000000"/>
                <w:sz w:val="20"/>
                <w:szCs w:val="20"/>
              </w:rPr>
            </w:pPr>
          </w:p>
        </w:tc>
        <w:tc>
          <w:tcPr>
            <w:tcW w:w="1408" w:type="pct"/>
            <w:gridSpan w:val="2"/>
            <w:shd w:val="clear" w:color="auto" w:fill="FFFFFF"/>
            <w:vAlign w:val="center"/>
          </w:tcPr>
          <w:p w14:paraId="5AB4FF50">
            <w:pPr>
              <w:jc w:val="center"/>
              <w:rPr>
                <w:rFonts w:hint="default" w:ascii="Times New Roman" w:hAnsi="Times New Roman" w:eastAsia="仿宋_GB2312" w:cs="Times New Roman"/>
                <w:color w:val="000000"/>
                <w:sz w:val="20"/>
                <w:szCs w:val="20"/>
              </w:rPr>
            </w:pPr>
          </w:p>
        </w:tc>
        <w:tc>
          <w:tcPr>
            <w:tcW w:w="875" w:type="pct"/>
            <w:gridSpan w:val="2"/>
            <w:shd w:val="clear" w:color="auto" w:fill="FFFFFF"/>
            <w:vAlign w:val="center"/>
          </w:tcPr>
          <w:p w14:paraId="69FB861B">
            <w:pPr>
              <w:rPr>
                <w:rFonts w:hint="default" w:ascii="Times New Roman" w:hAnsi="Times New Roman" w:eastAsia="仿宋_GB2312" w:cs="Times New Roman"/>
                <w:color w:val="000000"/>
                <w:sz w:val="20"/>
                <w:szCs w:val="20"/>
              </w:rPr>
            </w:pPr>
          </w:p>
        </w:tc>
        <w:tc>
          <w:tcPr>
            <w:tcW w:w="1101" w:type="pct"/>
            <w:gridSpan w:val="2"/>
            <w:shd w:val="clear" w:color="auto" w:fill="FFFFFF"/>
            <w:vAlign w:val="center"/>
          </w:tcPr>
          <w:p w14:paraId="06A9A190">
            <w:pPr>
              <w:rPr>
                <w:rFonts w:hint="default" w:ascii="Times New Roman" w:hAnsi="Times New Roman" w:eastAsia="仿宋_GB2312" w:cs="Times New Roman"/>
                <w:color w:val="000000"/>
                <w:sz w:val="20"/>
                <w:szCs w:val="20"/>
              </w:rPr>
            </w:pPr>
          </w:p>
        </w:tc>
        <w:tc>
          <w:tcPr>
            <w:tcW w:w="1169" w:type="pct"/>
            <w:gridSpan w:val="2"/>
            <w:shd w:val="clear" w:color="auto" w:fill="FFFFFF"/>
            <w:vAlign w:val="center"/>
          </w:tcPr>
          <w:p w14:paraId="22C0FC72">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公开0</w:t>
            </w:r>
            <w:r>
              <w:rPr>
                <w:rStyle w:val="17"/>
                <w:rFonts w:hint="default" w:ascii="Times New Roman" w:hAnsi="Times New Roman" w:eastAsia="仿宋_GB2312" w:cs="Times New Roman"/>
                <w:lang w:bidi="ar"/>
              </w:rPr>
              <w:t>5表</w:t>
            </w:r>
          </w:p>
        </w:tc>
      </w:tr>
      <w:tr w14:paraId="0366FDE7">
        <w:tblPrEx>
          <w:tblCellMar>
            <w:top w:w="15" w:type="dxa"/>
            <w:left w:w="15" w:type="dxa"/>
            <w:bottom w:w="15" w:type="dxa"/>
            <w:right w:w="15" w:type="dxa"/>
          </w:tblCellMar>
        </w:tblPrEx>
        <w:trPr>
          <w:gridAfter w:val="1"/>
          <w:wAfter w:w="31" w:type="pct"/>
          <w:trHeight w:val="327" w:hRule="atLeast"/>
          <w:tblHeader/>
          <w:jc w:val="center"/>
        </w:trPr>
        <w:tc>
          <w:tcPr>
            <w:tcW w:w="1826" w:type="pct"/>
            <w:gridSpan w:val="3"/>
            <w:shd w:val="clear" w:color="auto" w:fill="FFFFFF"/>
            <w:vAlign w:val="center"/>
          </w:tcPr>
          <w:p w14:paraId="0D5E5C92">
            <w:pPr>
              <w:jc w:val="both"/>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875" w:type="pct"/>
            <w:gridSpan w:val="2"/>
            <w:shd w:val="clear" w:color="auto" w:fill="FFFFFF"/>
            <w:vAlign w:val="center"/>
          </w:tcPr>
          <w:p w14:paraId="7E7028B1">
            <w:pPr>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2025年度</w:t>
            </w:r>
          </w:p>
        </w:tc>
        <w:tc>
          <w:tcPr>
            <w:tcW w:w="1101" w:type="pct"/>
            <w:gridSpan w:val="2"/>
            <w:shd w:val="clear" w:color="auto" w:fill="FFFFFF"/>
            <w:vAlign w:val="center"/>
          </w:tcPr>
          <w:p w14:paraId="1CC6BBD3">
            <w:pPr>
              <w:rPr>
                <w:rFonts w:hint="default" w:ascii="Times New Roman" w:hAnsi="Times New Roman" w:eastAsia="仿宋_GB2312" w:cs="Times New Roman"/>
                <w:color w:val="000000"/>
                <w:sz w:val="20"/>
                <w:szCs w:val="20"/>
              </w:rPr>
            </w:pPr>
          </w:p>
        </w:tc>
        <w:tc>
          <w:tcPr>
            <w:tcW w:w="1166" w:type="pct"/>
            <w:gridSpan w:val="2"/>
            <w:shd w:val="clear" w:color="auto" w:fill="FFFFFF"/>
            <w:vAlign w:val="center"/>
          </w:tcPr>
          <w:p w14:paraId="27C025B9">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单位：万元</w:t>
            </w:r>
          </w:p>
        </w:tc>
      </w:tr>
      <w:tr w14:paraId="271ADCCB">
        <w:tblPrEx>
          <w:tblCellMar>
            <w:top w:w="15" w:type="dxa"/>
            <w:left w:w="15" w:type="dxa"/>
            <w:bottom w:w="15" w:type="dxa"/>
            <w:right w:w="15" w:type="dxa"/>
          </w:tblCellMar>
        </w:tblPrEx>
        <w:trPr>
          <w:gridAfter w:val="1"/>
          <w:wAfter w:w="31" w:type="pct"/>
          <w:trHeight w:val="0" w:hRule="atLeast"/>
          <w:tblHeader/>
          <w:jc w:val="center"/>
        </w:trPr>
        <w:tc>
          <w:tcPr>
            <w:tcW w:w="18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F4EA62">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 xml:space="preserve">项 </w:t>
            </w:r>
            <w:r>
              <w:rPr>
                <w:rStyle w:val="18"/>
                <w:rFonts w:hint="default" w:ascii="Times New Roman" w:hAnsi="Times New Roman" w:eastAsia="仿宋_GB2312" w:cs="Times New Roman"/>
                <w:b/>
                <w:lang w:bidi="ar"/>
              </w:rPr>
              <w:t xml:space="preserve">   </w:t>
            </w:r>
            <w:r>
              <w:rPr>
                <w:rStyle w:val="19"/>
                <w:rFonts w:hint="default" w:ascii="Times New Roman" w:hAnsi="Times New Roman" w:eastAsia="仿宋_GB2312" w:cs="Times New Roman"/>
                <w:b/>
                <w:sz w:val="22"/>
                <w:szCs w:val="22"/>
                <w:lang w:bidi="ar"/>
              </w:rPr>
              <w:t>目</w:t>
            </w:r>
          </w:p>
        </w:tc>
        <w:tc>
          <w:tcPr>
            <w:tcW w:w="314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1DB6A9">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本年支出</w:t>
            </w:r>
          </w:p>
        </w:tc>
      </w:tr>
      <w:tr w14:paraId="6931E547">
        <w:tblPrEx>
          <w:tblCellMar>
            <w:top w:w="15" w:type="dxa"/>
            <w:left w:w="15" w:type="dxa"/>
            <w:bottom w:w="15" w:type="dxa"/>
            <w:right w:w="15" w:type="dxa"/>
          </w:tblCellMar>
        </w:tblPrEx>
        <w:trPr>
          <w:gridAfter w:val="1"/>
          <w:wAfter w:w="31" w:type="pct"/>
          <w:trHeight w:val="312" w:hRule="atLeast"/>
          <w:tblHeader/>
          <w:jc w:val="center"/>
        </w:trPr>
        <w:tc>
          <w:tcPr>
            <w:tcW w:w="4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37D660">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科目代码</w:t>
            </w:r>
          </w:p>
        </w:tc>
        <w:tc>
          <w:tcPr>
            <w:tcW w:w="141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F6191">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科目名称</w:t>
            </w:r>
          </w:p>
        </w:tc>
        <w:tc>
          <w:tcPr>
            <w:tcW w:w="87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67E2F">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小计</w:t>
            </w:r>
          </w:p>
        </w:tc>
        <w:tc>
          <w:tcPr>
            <w:tcW w:w="110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D6122">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基本支出</w:t>
            </w:r>
          </w:p>
        </w:tc>
        <w:tc>
          <w:tcPr>
            <w:tcW w:w="11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B7F31">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项目支出</w:t>
            </w:r>
          </w:p>
        </w:tc>
      </w:tr>
      <w:tr w14:paraId="2A8BDEE5">
        <w:tblPrEx>
          <w:tblCellMar>
            <w:top w:w="15" w:type="dxa"/>
            <w:left w:w="15" w:type="dxa"/>
            <w:bottom w:w="15" w:type="dxa"/>
            <w:right w:w="15" w:type="dxa"/>
          </w:tblCellMar>
        </w:tblPrEx>
        <w:trPr>
          <w:gridAfter w:val="1"/>
          <w:wAfter w:w="31" w:type="pct"/>
          <w:trHeight w:val="360" w:hRule="atLeast"/>
          <w:tblHeader/>
          <w:jc w:val="center"/>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5B031">
            <w:pPr>
              <w:jc w:val="center"/>
              <w:rPr>
                <w:rFonts w:hint="default" w:ascii="Times New Roman" w:hAnsi="Times New Roman" w:eastAsia="仿宋_GB2312" w:cs="Times New Roman"/>
                <w:color w:val="000000"/>
                <w:sz w:val="24"/>
              </w:rPr>
            </w:pPr>
          </w:p>
        </w:tc>
        <w:tc>
          <w:tcPr>
            <w:tcW w:w="1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7EA76">
            <w:pPr>
              <w:jc w:val="center"/>
              <w:rPr>
                <w:rFonts w:hint="default" w:ascii="Times New Roman" w:hAnsi="Times New Roman" w:eastAsia="仿宋_GB2312" w:cs="Times New Roman"/>
                <w:color w:val="000000"/>
                <w:sz w:val="24"/>
              </w:rPr>
            </w:pPr>
          </w:p>
        </w:tc>
        <w:tc>
          <w:tcPr>
            <w:tcW w:w="8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7A3A1">
            <w:pPr>
              <w:jc w:val="center"/>
              <w:rPr>
                <w:rFonts w:hint="default" w:ascii="Times New Roman" w:hAnsi="Times New Roman" w:eastAsia="仿宋_GB2312" w:cs="Times New Roman"/>
                <w:color w:val="000000"/>
                <w:sz w:val="24"/>
              </w:rPr>
            </w:pPr>
          </w:p>
        </w:tc>
        <w:tc>
          <w:tcPr>
            <w:tcW w:w="110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F9C57">
            <w:pPr>
              <w:jc w:val="center"/>
              <w:rPr>
                <w:rFonts w:hint="default" w:ascii="Times New Roman" w:hAnsi="Times New Roman" w:eastAsia="仿宋_GB2312" w:cs="Times New Roman"/>
                <w:color w:val="000000"/>
                <w:sz w:val="24"/>
              </w:rPr>
            </w:pPr>
          </w:p>
        </w:tc>
        <w:tc>
          <w:tcPr>
            <w:tcW w:w="11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07A02">
            <w:pPr>
              <w:jc w:val="center"/>
              <w:rPr>
                <w:rFonts w:hint="default" w:ascii="Times New Roman" w:hAnsi="Times New Roman" w:eastAsia="仿宋_GB2312" w:cs="Times New Roman"/>
                <w:color w:val="000000"/>
                <w:sz w:val="24"/>
              </w:rPr>
            </w:pPr>
          </w:p>
        </w:tc>
      </w:tr>
      <w:tr w14:paraId="6F9536DE">
        <w:tblPrEx>
          <w:tblCellMar>
            <w:top w:w="15" w:type="dxa"/>
            <w:left w:w="15" w:type="dxa"/>
            <w:bottom w:w="15" w:type="dxa"/>
            <w:right w:w="15" w:type="dxa"/>
          </w:tblCellMar>
        </w:tblPrEx>
        <w:trPr>
          <w:gridAfter w:val="1"/>
          <w:wAfter w:w="31" w:type="pct"/>
          <w:trHeight w:val="312" w:hRule="atLeast"/>
          <w:tblHeader/>
          <w:jc w:val="center"/>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EF547">
            <w:pPr>
              <w:jc w:val="center"/>
              <w:rPr>
                <w:rFonts w:hint="default" w:ascii="Times New Roman" w:hAnsi="Times New Roman" w:eastAsia="仿宋_GB2312" w:cs="Times New Roman"/>
                <w:color w:val="000000"/>
                <w:sz w:val="24"/>
              </w:rPr>
            </w:pPr>
          </w:p>
        </w:tc>
        <w:tc>
          <w:tcPr>
            <w:tcW w:w="1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3538C">
            <w:pPr>
              <w:jc w:val="center"/>
              <w:rPr>
                <w:rFonts w:hint="default" w:ascii="Times New Roman" w:hAnsi="Times New Roman" w:eastAsia="仿宋_GB2312" w:cs="Times New Roman"/>
                <w:color w:val="000000"/>
                <w:sz w:val="24"/>
              </w:rPr>
            </w:pPr>
          </w:p>
        </w:tc>
        <w:tc>
          <w:tcPr>
            <w:tcW w:w="8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6D914">
            <w:pPr>
              <w:jc w:val="center"/>
              <w:rPr>
                <w:rFonts w:hint="default" w:ascii="Times New Roman" w:hAnsi="Times New Roman" w:eastAsia="仿宋_GB2312" w:cs="Times New Roman"/>
                <w:color w:val="000000"/>
                <w:sz w:val="24"/>
              </w:rPr>
            </w:pPr>
          </w:p>
        </w:tc>
        <w:tc>
          <w:tcPr>
            <w:tcW w:w="110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BB576">
            <w:pPr>
              <w:jc w:val="center"/>
              <w:rPr>
                <w:rFonts w:hint="default" w:ascii="Times New Roman" w:hAnsi="Times New Roman" w:eastAsia="仿宋_GB2312" w:cs="Times New Roman"/>
                <w:color w:val="000000"/>
                <w:sz w:val="24"/>
              </w:rPr>
            </w:pPr>
          </w:p>
        </w:tc>
        <w:tc>
          <w:tcPr>
            <w:tcW w:w="11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D0B2C">
            <w:pPr>
              <w:jc w:val="center"/>
              <w:rPr>
                <w:rFonts w:hint="default" w:ascii="Times New Roman" w:hAnsi="Times New Roman" w:eastAsia="仿宋_GB2312" w:cs="Times New Roman"/>
                <w:color w:val="000000"/>
                <w:sz w:val="24"/>
              </w:rPr>
            </w:pPr>
          </w:p>
        </w:tc>
      </w:tr>
      <w:tr w14:paraId="0B3AC5FF">
        <w:tblPrEx>
          <w:tblCellMar>
            <w:top w:w="15" w:type="dxa"/>
            <w:left w:w="15" w:type="dxa"/>
            <w:bottom w:w="15" w:type="dxa"/>
            <w:right w:w="15" w:type="dxa"/>
          </w:tblCellMar>
        </w:tblPrEx>
        <w:trPr>
          <w:gridAfter w:val="1"/>
          <w:wAfter w:w="31" w:type="pct"/>
          <w:trHeight w:val="360" w:hRule="atLeast"/>
          <w:tblHeader/>
          <w:jc w:val="center"/>
        </w:trPr>
        <w:tc>
          <w:tcPr>
            <w:tcW w:w="18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3E6CE7">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栏次</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2200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1</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0359B">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2</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DC7A1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3</w:t>
            </w:r>
          </w:p>
        </w:tc>
      </w:tr>
      <w:tr w14:paraId="08FB6BED">
        <w:tblPrEx>
          <w:tblCellMar>
            <w:top w:w="15" w:type="dxa"/>
            <w:left w:w="15" w:type="dxa"/>
            <w:bottom w:w="15" w:type="dxa"/>
            <w:right w:w="15" w:type="dxa"/>
          </w:tblCellMar>
        </w:tblPrEx>
        <w:trPr>
          <w:gridAfter w:val="1"/>
          <w:wAfter w:w="31" w:type="pct"/>
          <w:trHeight w:val="360" w:hRule="atLeast"/>
          <w:jc w:val="center"/>
        </w:trPr>
        <w:tc>
          <w:tcPr>
            <w:tcW w:w="18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E0E06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7C8B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2,689.06</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50771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1,660.91</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9B3D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cs="Times New Roman"/>
                <w:sz w:val="20"/>
                <w:szCs w:val="20"/>
                <w:highlight w:val="none"/>
              </w:rPr>
              <w:t>1,028.15</w:t>
            </w:r>
          </w:p>
        </w:tc>
      </w:tr>
      <w:tr w14:paraId="557A332F">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4F573">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D4108">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社会保障和就业支出</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4C11C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538.05</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69C1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538.05</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251E7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26EC808">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4BAD3">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7E8EA">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行政事业单位养老支出</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804C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538.05</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B9FC40">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538.05</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A0BD4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6E3C0CBE">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867F8">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2080502</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39A00B">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事业单位离退休</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825C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362.13</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D9B23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362.13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E6F5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6DED42A">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4AE63">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2080505</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5EBB66">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机关事业单位基本养老保险缴费支出</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2659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118.74</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C7CB1">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118.74</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17739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3C4E9D85">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217D4">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2080506</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CC762">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机关事业单位职业年金缴费支出</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BCA2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57.17</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0EAE85">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57.17</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67AB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57C31AE2">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1AE18">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AE563">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卫生健康支出</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1B58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2,071.61</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F6C2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1,043.46</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B364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1,028.15</w:t>
            </w:r>
          </w:p>
        </w:tc>
      </w:tr>
      <w:tr w14:paraId="136986FA">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2D807">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21002</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4B8DD">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公立医院</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BD56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1,437.17</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C818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997.58</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9D02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439.59</w:t>
            </w:r>
          </w:p>
        </w:tc>
      </w:tr>
      <w:tr w14:paraId="5E3D9A12">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9B01A">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2100202</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FB498">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中医（民族）医院</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A11D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1,437.17</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299C1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997.58</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E7B1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439.59</w:t>
            </w:r>
          </w:p>
        </w:tc>
      </w:tr>
      <w:tr w14:paraId="7DA9042C">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387B9">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21011</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299D6">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行政事业单位医疗</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9C7F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45.88</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B3CB7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45.88</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2F002">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A4F4A00">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98925">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2101102</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9C17F">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事业单位医疗</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55C38">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45.88</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5A7F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45.88</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B2C81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7ACCDDA5">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30A29">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21017</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21805">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中医药事务</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6C71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96D9A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C132DB">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r>
      <w:tr w14:paraId="3424F859">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77677">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2101704</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EB9CF">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中医（民族医）药专项</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76E6C">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7D71A">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4D92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588.56</w:t>
            </w:r>
          </w:p>
        </w:tc>
      </w:tr>
      <w:tr w14:paraId="4B4C5FFF">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EC991">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221</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CC7F1">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住房保障支出</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6C98BE">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79.41</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8D47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79.41</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F5E34">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05ACE74">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53BBA">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22102</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EF16C">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住房改革支出</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5F143">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79.41</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DCA6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79.41</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DFDD6D">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4BE1024F">
        <w:tblPrEx>
          <w:tblCellMar>
            <w:top w:w="15" w:type="dxa"/>
            <w:left w:w="15" w:type="dxa"/>
            <w:bottom w:w="15" w:type="dxa"/>
            <w:right w:w="15" w:type="dxa"/>
          </w:tblCellMar>
        </w:tblPrEx>
        <w:trPr>
          <w:gridAfter w:val="1"/>
          <w:wAfter w:w="31" w:type="pct"/>
          <w:trHeight w:val="360" w:hRule="atLeast"/>
          <w:jc w:val="center"/>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F852B">
            <w:pPr>
              <w:jc w:val="left"/>
              <w:rPr>
                <w:rFonts w:hint="default" w:ascii="方正仿宋_GB2312" w:hAnsi="方正仿宋_GB2312" w:eastAsia="方正仿宋_GB2312" w:cs="方正仿宋_GB2312"/>
                <w:i w:val="0"/>
                <w:iCs w:val="0"/>
                <w:color w:val="000000"/>
                <w:kern w:val="2"/>
                <w:sz w:val="20"/>
                <w:szCs w:val="20"/>
                <w:highlight w:val="none"/>
                <w:u w:val="none"/>
                <w:lang w:val="en-US" w:eastAsia="zh-CN" w:bidi="ar-SA"/>
              </w:rPr>
            </w:pPr>
            <w:r>
              <w:rPr>
                <w:rFonts w:hint="default" w:ascii="Times New Roman" w:hAnsi="Times New Roman" w:eastAsia="方正仿宋_GB2312" w:cs="Times New Roman"/>
                <w:i w:val="0"/>
                <w:iCs w:val="0"/>
                <w:color w:val="000000"/>
                <w:sz w:val="20"/>
                <w:szCs w:val="20"/>
                <w:highlight w:val="none"/>
                <w:u w:val="none"/>
                <w:lang w:val="en-US" w:eastAsia="zh-CN"/>
              </w:rPr>
              <w:t>2210201</w:t>
            </w:r>
          </w:p>
        </w:tc>
        <w:tc>
          <w:tcPr>
            <w:tcW w:w="1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30D32">
            <w:pPr>
              <w:jc w:val="left"/>
              <w:rPr>
                <w:rFonts w:hint="eastAsia" w:ascii="仿宋_GB2312" w:hAnsi="仿宋_GB2312" w:eastAsia="仿宋_GB2312" w:cs="仿宋_GB2312"/>
                <w:i w:val="0"/>
                <w:iCs w:val="0"/>
                <w:color w:val="000000"/>
                <w:kern w:val="2"/>
                <w:sz w:val="20"/>
                <w:szCs w:val="20"/>
                <w:highlight w:val="none"/>
                <w:u w:val="none"/>
                <w:lang w:val="en-US" w:eastAsia="zh-CN" w:bidi="ar-SA"/>
              </w:rPr>
            </w:pPr>
            <w:r>
              <w:rPr>
                <w:rFonts w:hint="eastAsia" w:ascii="仿宋_GB2312" w:hAnsi="仿宋_GB2312" w:eastAsia="仿宋_GB2312" w:cs="仿宋_GB2312"/>
                <w:i w:val="0"/>
                <w:iCs w:val="0"/>
                <w:color w:val="000000"/>
                <w:sz w:val="20"/>
                <w:szCs w:val="20"/>
                <w:highlight w:val="none"/>
                <w:u w:val="none"/>
                <w:lang w:val="en-US" w:eastAsia="zh-CN"/>
              </w:rPr>
              <w:t>住房公积金</w:t>
            </w:r>
          </w:p>
        </w:tc>
        <w:tc>
          <w:tcPr>
            <w:tcW w:w="8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4CA7F">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79.41</w:t>
            </w:r>
          </w:p>
        </w:tc>
        <w:tc>
          <w:tcPr>
            <w:tcW w:w="11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82D27">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sz w:val="20"/>
                <w:szCs w:val="20"/>
                <w:highlight w:val="none"/>
                <w:u w:val="none"/>
                <w:lang w:val="en-US" w:eastAsia="zh-CN"/>
              </w:rPr>
              <w:t>79.41</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141DA9">
            <w:pPr>
              <w:jc w:val="right"/>
              <w:rPr>
                <w:rFonts w:hint="default" w:ascii="Times New Roman" w:hAnsi="Times New Roman" w:eastAsia="宋体" w:cs="Times New Roman"/>
                <w:i w:val="0"/>
                <w:iCs w:val="0"/>
                <w:color w:val="000000"/>
                <w:kern w:val="2"/>
                <w:sz w:val="20"/>
                <w:szCs w:val="20"/>
                <w:highlight w:val="none"/>
                <w:u w:val="none"/>
                <w:lang w:val="en-US" w:eastAsia="zh-CN" w:bidi="ar-SA"/>
              </w:rPr>
            </w:pPr>
          </w:p>
        </w:tc>
      </w:tr>
      <w:tr w14:paraId="1C54AF4E">
        <w:tblPrEx>
          <w:tblCellMar>
            <w:top w:w="15" w:type="dxa"/>
            <w:left w:w="15" w:type="dxa"/>
            <w:bottom w:w="15" w:type="dxa"/>
            <w:right w:w="15" w:type="dxa"/>
          </w:tblCellMar>
        </w:tblPrEx>
        <w:trPr>
          <w:gridAfter w:val="1"/>
          <w:wAfter w:w="31" w:type="pct"/>
          <w:trHeight w:val="803" w:hRule="atLeast"/>
          <w:jc w:val="center"/>
        </w:trPr>
        <w:tc>
          <w:tcPr>
            <w:tcW w:w="4968" w:type="pct"/>
            <w:gridSpan w:val="9"/>
            <w:shd w:val="clear" w:color="auto" w:fill="auto"/>
            <w:vAlign w:val="center"/>
          </w:tcPr>
          <w:p w14:paraId="2CDD3EF2">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一般公共预算财政拨款支出情况。</w:t>
            </w:r>
          </w:p>
        </w:tc>
      </w:tr>
    </w:tbl>
    <w:p w14:paraId="23F0CB12">
      <w:pPr>
        <w:rPr>
          <w:rFonts w:hint="default" w:ascii="Times New Roman" w:hAnsi="Times New Roman" w:eastAsia="仿宋_GB2312" w:cs="Times New Roman"/>
        </w:rPr>
        <w:sectPr>
          <w:pgSz w:w="16838" w:h="11906" w:orient="landscape"/>
          <w:pgMar w:top="1474" w:right="1474" w:bottom="1474" w:left="1474" w:header="851" w:footer="992" w:gutter="0"/>
          <w:cols w:space="425" w:num="1"/>
          <w:rtlGutter w:val="0"/>
          <w:docGrid w:type="lines" w:linePitch="319" w:charSpace="0"/>
        </w:sectPr>
      </w:pPr>
    </w:p>
    <w:tbl>
      <w:tblPr>
        <w:tblStyle w:val="9"/>
        <w:tblW w:w="5000" w:type="pct"/>
        <w:jc w:val="center"/>
        <w:tblLayout w:type="autofit"/>
        <w:tblCellMar>
          <w:top w:w="15" w:type="dxa"/>
          <w:left w:w="15" w:type="dxa"/>
          <w:bottom w:w="15" w:type="dxa"/>
          <w:right w:w="15" w:type="dxa"/>
        </w:tblCellMar>
      </w:tblPr>
      <w:tblGrid>
        <w:gridCol w:w="648"/>
        <w:gridCol w:w="3064"/>
        <w:gridCol w:w="1114"/>
        <w:gridCol w:w="677"/>
        <w:gridCol w:w="2105"/>
        <w:gridCol w:w="1231"/>
        <w:gridCol w:w="688"/>
        <w:gridCol w:w="3110"/>
        <w:gridCol w:w="1283"/>
      </w:tblGrid>
      <w:tr w14:paraId="7FD64831">
        <w:tblPrEx>
          <w:tblCellMar>
            <w:top w:w="15" w:type="dxa"/>
            <w:left w:w="15" w:type="dxa"/>
            <w:bottom w:w="15" w:type="dxa"/>
            <w:right w:w="15" w:type="dxa"/>
          </w:tblCellMar>
        </w:tblPrEx>
        <w:trPr>
          <w:trHeight w:val="619" w:hRule="atLeast"/>
          <w:tblHeader/>
          <w:jc w:val="center"/>
        </w:trPr>
        <w:tc>
          <w:tcPr>
            <w:tcW w:w="5000" w:type="pct"/>
            <w:gridSpan w:val="9"/>
            <w:shd w:val="clear" w:color="auto" w:fill="FFFFFF"/>
            <w:vAlign w:val="center"/>
          </w:tcPr>
          <w:p w14:paraId="102F265B">
            <w:pPr>
              <w:widowControl/>
              <w:tabs>
                <w:tab w:val="left" w:pos="3809"/>
              </w:tabs>
              <w:jc w:val="center"/>
              <w:textAlignment w:val="cente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b/>
                <w:bCs/>
                <w:color w:val="000000"/>
                <w:kern w:val="0"/>
                <w:sz w:val="32"/>
                <w:szCs w:val="32"/>
                <w:lang w:bidi="ar"/>
              </w:rPr>
              <w:t>一般公共预算财政拨款基本支出决算</w:t>
            </w:r>
            <w:r>
              <w:rPr>
                <w:rStyle w:val="20"/>
                <w:rFonts w:hint="default" w:ascii="Times New Roman" w:hAnsi="Times New Roman" w:eastAsia="仿宋_GB2312" w:cs="Times New Roman"/>
                <w:b/>
                <w:bCs/>
                <w:lang w:bidi="ar"/>
              </w:rPr>
              <w:t>明细</w:t>
            </w:r>
            <w:r>
              <w:rPr>
                <w:rStyle w:val="21"/>
                <w:rFonts w:hint="default" w:ascii="Times New Roman" w:hAnsi="Times New Roman" w:eastAsia="仿宋_GB2312" w:cs="Times New Roman"/>
                <w:b/>
                <w:bCs/>
                <w:lang w:bidi="ar"/>
              </w:rPr>
              <w:t>表</w:t>
            </w:r>
          </w:p>
        </w:tc>
      </w:tr>
      <w:tr w14:paraId="200AF8F3">
        <w:tblPrEx>
          <w:tblCellMar>
            <w:top w:w="15" w:type="dxa"/>
            <w:left w:w="15" w:type="dxa"/>
            <w:bottom w:w="15" w:type="dxa"/>
            <w:right w:w="15" w:type="dxa"/>
          </w:tblCellMar>
        </w:tblPrEx>
        <w:trPr>
          <w:trHeight w:val="211" w:hRule="atLeast"/>
          <w:tblHeader/>
          <w:jc w:val="center"/>
        </w:trPr>
        <w:tc>
          <w:tcPr>
            <w:tcW w:w="233" w:type="pct"/>
            <w:shd w:val="clear" w:color="auto" w:fill="FFFFFF"/>
            <w:vAlign w:val="center"/>
          </w:tcPr>
          <w:p w14:paraId="36B6668E">
            <w:pPr>
              <w:jc w:val="center"/>
              <w:rPr>
                <w:rFonts w:hint="default" w:ascii="Times New Roman" w:hAnsi="Times New Roman" w:eastAsia="仿宋_GB2312" w:cs="Times New Roman"/>
                <w:color w:val="000000"/>
                <w:sz w:val="20"/>
                <w:szCs w:val="20"/>
              </w:rPr>
            </w:pPr>
          </w:p>
        </w:tc>
        <w:tc>
          <w:tcPr>
            <w:tcW w:w="1100" w:type="pct"/>
            <w:shd w:val="clear" w:color="auto" w:fill="FFFFFF"/>
            <w:vAlign w:val="center"/>
          </w:tcPr>
          <w:p w14:paraId="3E32941A">
            <w:pPr>
              <w:jc w:val="center"/>
              <w:rPr>
                <w:rFonts w:hint="default" w:ascii="Times New Roman" w:hAnsi="Times New Roman" w:eastAsia="仿宋_GB2312" w:cs="Times New Roman"/>
                <w:color w:val="000000"/>
                <w:sz w:val="20"/>
                <w:szCs w:val="20"/>
              </w:rPr>
            </w:pPr>
          </w:p>
        </w:tc>
        <w:tc>
          <w:tcPr>
            <w:tcW w:w="400" w:type="pct"/>
            <w:shd w:val="clear" w:color="auto" w:fill="FFFFFF"/>
            <w:vAlign w:val="center"/>
          </w:tcPr>
          <w:p w14:paraId="084D9BED">
            <w:pPr>
              <w:jc w:val="center"/>
              <w:rPr>
                <w:rFonts w:hint="default" w:ascii="Times New Roman" w:hAnsi="Times New Roman" w:eastAsia="仿宋_GB2312" w:cs="Times New Roman"/>
                <w:color w:val="000000"/>
                <w:sz w:val="20"/>
                <w:szCs w:val="20"/>
              </w:rPr>
            </w:pPr>
          </w:p>
        </w:tc>
        <w:tc>
          <w:tcPr>
            <w:tcW w:w="243" w:type="pct"/>
            <w:shd w:val="clear" w:color="auto" w:fill="FFFFFF"/>
            <w:vAlign w:val="center"/>
          </w:tcPr>
          <w:p w14:paraId="45307214">
            <w:pPr>
              <w:rPr>
                <w:rFonts w:hint="default" w:ascii="Times New Roman" w:hAnsi="Times New Roman" w:eastAsia="仿宋_GB2312" w:cs="Times New Roman"/>
                <w:color w:val="000000"/>
                <w:sz w:val="20"/>
                <w:szCs w:val="20"/>
              </w:rPr>
            </w:pPr>
          </w:p>
        </w:tc>
        <w:tc>
          <w:tcPr>
            <w:tcW w:w="756" w:type="pct"/>
            <w:shd w:val="clear" w:color="auto" w:fill="FFFFFF"/>
            <w:vAlign w:val="center"/>
          </w:tcPr>
          <w:p w14:paraId="742ABE61">
            <w:pPr>
              <w:rPr>
                <w:rFonts w:hint="default" w:ascii="Times New Roman" w:hAnsi="Times New Roman" w:eastAsia="仿宋_GB2312" w:cs="Times New Roman"/>
                <w:color w:val="000000"/>
                <w:sz w:val="20"/>
                <w:szCs w:val="20"/>
              </w:rPr>
            </w:pPr>
          </w:p>
        </w:tc>
        <w:tc>
          <w:tcPr>
            <w:tcW w:w="442" w:type="pct"/>
            <w:shd w:val="clear" w:color="auto" w:fill="FFFFFF"/>
            <w:vAlign w:val="center"/>
          </w:tcPr>
          <w:p w14:paraId="2309053F">
            <w:pPr>
              <w:rPr>
                <w:rFonts w:hint="default" w:ascii="Times New Roman" w:hAnsi="Times New Roman" w:eastAsia="仿宋_GB2312" w:cs="Times New Roman"/>
                <w:color w:val="000000"/>
                <w:sz w:val="20"/>
                <w:szCs w:val="20"/>
              </w:rPr>
            </w:pPr>
          </w:p>
        </w:tc>
        <w:tc>
          <w:tcPr>
            <w:tcW w:w="247" w:type="pct"/>
            <w:shd w:val="clear" w:color="auto" w:fill="FFFFFF"/>
            <w:vAlign w:val="center"/>
          </w:tcPr>
          <w:p w14:paraId="7C5CB160">
            <w:pPr>
              <w:rPr>
                <w:rFonts w:hint="default" w:ascii="Times New Roman" w:hAnsi="Times New Roman" w:eastAsia="仿宋_GB2312" w:cs="Times New Roman"/>
                <w:color w:val="000000"/>
                <w:sz w:val="20"/>
                <w:szCs w:val="20"/>
              </w:rPr>
            </w:pPr>
          </w:p>
        </w:tc>
        <w:tc>
          <w:tcPr>
            <w:tcW w:w="1577" w:type="pct"/>
            <w:gridSpan w:val="2"/>
            <w:shd w:val="clear" w:color="auto" w:fill="FFFFFF"/>
            <w:vAlign w:val="center"/>
          </w:tcPr>
          <w:p w14:paraId="02F8072F">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公开06表</w:t>
            </w:r>
          </w:p>
        </w:tc>
      </w:tr>
      <w:tr w14:paraId="056049B1">
        <w:tblPrEx>
          <w:tblCellMar>
            <w:top w:w="15" w:type="dxa"/>
            <w:left w:w="15" w:type="dxa"/>
            <w:bottom w:w="15" w:type="dxa"/>
            <w:right w:w="15" w:type="dxa"/>
          </w:tblCellMar>
        </w:tblPrEx>
        <w:trPr>
          <w:trHeight w:val="266" w:hRule="atLeast"/>
          <w:tblHeader/>
          <w:jc w:val="center"/>
        </w:trPr>
        <w:tc>
          <w:tcPr>
            <w:tcW w:w="1334" w:type="pct"/>
            <w:gridSpan w:val="2"/>
            <w:shd w:val="clear" w:color="auto" w:fill="auto"/>
            <w:vAlign w:val="center"/>
          </w:tcPr>
          <w:p w14:paraId="0BB33027">
            <w:pPr>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400" w:type="pct"/>
            <w:shd w:val="clear" w:color="auto" w:fill="auto"/>
            <w:vAlign w:val="center"/>
          </w:tcPr>
          <w:p w14:paraId="107E79C9">
            <w:pPr>
              <w:rPr>
                <w:rFonts w:hint="default" w:ascii="Times New Roman" w:hAnsi="Times New Roman" w:eastAsia="仿宋_GB2312" w:cs="Times New Roman"/>
                <w:color w:val="000000"/>
                <w:sz w:val="20"/>
                <w:szCs w:val="20"/>
              </w:rPr>
            </w:pPr>
          </w:p>
        </w:tc>
        <w:tc>
          <w:tcPr>
            <w:tcW w:w="243" w:type="pct"/>
            <w:shd w:val="clear" w:color="auto" w:fill="auto"/>
            <w:vAlign w:val="center"/>
          </w:tcPr>
          <w:p w14:paraId="64B36439">
            <w:pPr>
              <w:rPr>
                <w:rFonts w:hint="default" w:ascii="Times New Roman" w:hAnsi="Times New Roman" w:eastAsia="仿宋_GB2312" w:cs="Times New Roman"/>
                <w:color w:val="000000"/>
                <w:sz w:val="20"/>
                <w:szCs w:val="20"/>
              </w:rPr>
            </w:pPr>
          </w:p>
        </w:tc>
        <w:tc>
          <w:tcPr>
            <w:tcW w:w="756" w:type="pct"/>
            <w:shd w:val="clear" w:color="auto" w:fill="auto"/>
            <w:vAlign w:val="center"/>
          </w:tcPr>
          <w:p w14:paraId="752F7EF7">
            <w:pPr>
              <w:ind w:firstLine="600" w:firstLineChars="300"/>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2025年度</w:t>
            </w:r>
          </w:p>
        </w:tc>
        <w:tc>
          <w:tcPr>
            <w:tcW w:w="442" w:type="pct"/>
            <w:shd w:val="clear" w:color="auto" w:fill="auto"/>
            <w:vAlign w:val="center"/>
          </w:tcPr>
          <w:p w14:paraId="6B4AD86A">
            <w:pPr>
              <w:rPr>
                <w:rFonts w:hint="default" w:ascii="Times New Roman" w:hAnsi="Times New Roman" w:eastAsia="仿宋_GB2312" w:cs="Times New Roman"/>
                <w:color w:val="000000"/>
                <w:sz w:val="20"/>
                <w:szCs w:val="20"/>
              </w:rPr>
            </w:pPr>
          </w:p>
        </w:tc>
        <w:tc>
          <w:tcPr>
            <w:tcW w:w="247" w:type="pct"/>
            <w:shd w:val="clear" w:color="auto" w:fill="auto"/>
            <w:vAlign w:val="center"/>
          </w:tcPr>
          <w:p w14:paraId="233028F6">
            <w:pPr>
              <w:rPr>
                <w:rFonts w:hint="default" w:ascii="Times New Roman" w:hAnsi="Times New Roman" w:eastAsia="仿宋_GB2312" w:cs="Times New Roman"/>
                <w:color w:val="000000"/>
                <w:sz w:val="20"/>
                <w:szCs w:val="20"/>
              </w:rPr>
            </w:pPr>
          </w:p>
        </w:tc>
        <w:tc>
          <w:tcPr>
            <w:tcW w:w="1577" w:type="pct"/>
            <w:gridSpan w:val="2"/>
            <w:shd w:val="clear" w:color="auto" w:fill="auto"/>
            <w:vAlign w:val="center"/>
          </w:tcPr>
          <w:p w14:paraId="515DD11F">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单位：万元</w:t>
            </w:r>
          </w:p>
        </w:tc>
      </w:tr>
      <w:tr w14:paraId="773B2013">
        <w:tblPrEx>
          <w:tblCellMar>
            <w:top w:w="15" w:type="dxa"/>
            <w:left w:w="15" w:type="dxa"/>
            <w:bottom w:w="15" w:type="dxa"/>
            <w:right w:w="15" w:type="dxa"/>
          </w:tblCellMar>
        </w:tblPrEx>
        <w:trPr>
          <w:trHeight w:val="629" w:hRule="atLeast"/>
          <w:tblHeader/>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22252">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科目代码</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E8F6C">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科目名称</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C919E">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决算数</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00431">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科目代码</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9C6C7">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科目名称</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2975D">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决算数</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C7D43">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科目代码</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E7E7E">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科目名称</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0F312">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决算数</w:t>
            </w:r>
          </w:p>
        </w:tc>
      </w:tr>
      <w:tr w14:paraId="66CE833B">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495A1">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EAD19">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工资福利支出</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56F0F">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1,284.43</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6158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7C6CE">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商品和服务支出</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D1FBA">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F9A9">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307</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6097A">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债务利息及费用支出</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05A15">
            <w:pPr>
              <w:jc w:val="right"/>
              <w:rPr>
                <w:rFonts w:hint="default" w:ascii="Times New Roman" w:hAnsi="Times New Roman" w:eastAsia="仿宋_GB2312" w:cs="Times New Roman"/>
                <w:color w:val="000000"/>
                <w:sz w:val="20"/>
                <w:szCs w:val="20"/>
              </w:rPr>
            </w:pPr>
          </w:p>
        </w:tc>
      </w:tr>
      <w:tr w14:paraId="6B6BC3C8">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9537C">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30101</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E299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基本工资</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4C2ED">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258.53</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73D1B">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30201</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B28A6">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办公费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7823">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1129">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30701</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8820D">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国内债务付息</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B0C44">
            <w:pPr>
              <w:jc w:val="right"/>
              <w:rPr>
                <w:rFonts w:hint="default" w:ascii="Times New Roman" w:hAnsi="Times New Roman" w:eastAsia="仿宋_GB2312" w:cs="Times New Roman"/>
                <w:color w:val="000000"/>
                <w:sz w:val="20"/>
                <w:szCs w:val="20"/>
              </w:rPr>
            </w:pPr>
          </w:p>
        </w:tc>
      </w:tr>
      <w:tr w14:paraId="0D5E1EF8">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6A7B7">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30102</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C038C">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津贴补贴</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6F2E1">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53.13</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1C808">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30202</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E92A9">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印刷费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B300B">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F4E1A">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30702</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6CB90">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国外债务付息</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EF434">
            <w:pPr>
              <w:jc w:val="right"/>
              <w:rPr>
                <w:rFonts w:hint="default" w:ascii="Times New Roman" w:hAnsi="Times New Roman" w:eastAsia="仿宋_GB2312" w:cs="Times New Roman"/>
                <w:color w:val="000000"/>
                <w:sz w:val="20"/>
                <w:szCs w:val="20"/>
              </w:rPr>
            </w:pPr>
          </w:p>
        </w:tc>
      </w:tr>
      <w:tr w14:paraId="13C95854">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E4AB">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30103</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AF841">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奖金</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EF22D">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264.63</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EF94E">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30204</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CA670">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手续费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77E77">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A40B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8554A">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资本性支出</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A9304">
            <w:pPr>
              <w:jc w:val="right"/>
              <w:rPr>
                <w:rFonts w:hint="default" w:ascii="Times New Roman" w:hAnsi="Times New Roman" w:eastAsia="仿宋_GB2312" w:cs="Times New Roman"/>
                <w:color w:val="000000"/>
                <w:sz w:val="20"/>
                <w:szCs w:val="20"/>
              </w:rPr>
            </w:pPr>
          </w:p>
        </w:tc>
      </w:tr>
      <w:tr w14:paraId="374E4D9A">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825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30106</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22147">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伙食补助费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67401">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C20E5">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30205</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0116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水费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505FA">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B7907">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31001</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51E8A">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房屋建筑物购建</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3AB83">
            <w:pPr>
              <w:jc w:val="right"/>
              <w:rPr>
                <w:rFonts w:hint="default" w:ascii="Times New Roman" w:hAnsi="Times New Roman" w:eastAsia="仿宋_GB2312" w:cs="Times New Roman"/>
                <w:color w:val="000000"/>
                <w:sz w:val="20"/>
                <w:szCs w:val="20"/>
              </w:rPr>
            </w:pPr>
          </w:p>
        </w:tc>
      </w:tr>
      <w:tr w14:paraId="55717BD6">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489C8">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30107</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8B53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绩效工资</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D0792">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305.95</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013D">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30206</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5647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电费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A2ED4">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7322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31002</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88F9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办公设备购置</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E12B3">
            <w:pPr>
              <w:jc w:val="right"/>
              <w:rPr>
                <w:rFonts w:hint="default" w:ascii="Times New Roman" w:hAnsi="Times New Roman" w:eastAsia="仿宋_GB2312" w:cs="Times New Roman"/>
                <w:color w:val="000000"/>
                <w:sz w:val="20"/>
                <w:szCs w:val="20"/>
              </w:rPr>
            </w:pPr>
          </w:p>
        </w:tc>
      </w:tr>
      <w:tr w14:paraId="753372A2">
        <w:tblPrEx>
          <w:tblCellMar>
            <w:top w:w="15" w:type="dxa"/>
            <w:left w:w="15" w:type="dxa"/>
            <w:bottom w:w="15" w:type="dxa"/>
            <w:right w:w="15" w:type="dxa"/>
          </w:tblCellMar>
        </w:tblPrEx>
        <w:trPr>
          <w:trHeight w:val="294"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B208B">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30108</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2EB9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w:t>
            </w:r>
            <w:r>
              <w:rPr>
                <w:rFonts w:hint="default" w:ascii="Times New Roman" w:hAnsi="Times New Roman" w:eastAsia="仿宋_GB2312" w:cs="Times New Roman"/>
                <w:color w:val="000000"/>
                <w:kern w:val="0"/>
                <w:sz w:val="15"/>
                <w:szCs w:val="15"/>
                <w:lang w:bidi="ar"/>
              </w:rPr>
              <w:t>机关事业单位基本养老保险缴费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3C7E6">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118.74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2B5AA">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30207</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A2BCE">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邮电费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B8AAA">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876E9">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31003</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13DD5">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专用设备购置</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5B284">
            <w:pPr>
              <w:jc w:val="right"/>
              <w:rPr>
                <w:rFonts w:hint="default" w:ascii="Times New Roman" w:hAnsi="Times New Roman" w:eastAsia="仿宋_GB2312" w:cs="Times New Roman"/>
                <w:color w:val="000000"/>
                <w:sz w:val="20"/>
                <w:szCs w:val="20"/>
              </w:rPr>
            </w:pPr>
          </w:p>
        </w:tc>
      </w:tr>
      <w:tr w14:paraId="2DBCE385">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12CFE">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30109</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AADF3">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职业年金缴费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9CD18">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57.17</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3D51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30208</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59000">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取暖费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573C0">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CA44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31005</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06F20">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基础设施建设</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D4861">
            <w:pPr>
              <w:jc w:val="right"/>
              <w:rPr>
                <w:rFonts w:hint="default" w:ascii="Times New Roman" w:hAnsi="Times New Roman" w:eastAsia="仿宋_GB2312" w:cs="Times New Roman"/>
                <w:color w:val="000000"/>
                <w:sz w:val="20"/>
                <w:szCs w:val="20"/>
              </w:rPr>
            </w:pPr>
          </w:p>
        </w:tc>
      </w:tr>
      <w:tr w14:paraId="38C87905">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F154A">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30110</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DE036">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职工基本医疗保险缴费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FBCA0">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45.88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E786D">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30209</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9BBFA">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物业管理费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41914">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1F7B4">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31006</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5B30C">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大型修缮</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607A9">
            <w:pPr>
              <w:jc w:val="right"/>
              <w:rPr>
                <w:rFonts w:hint="default" w:ascii="Times New Roman" w:hAnsi="Times New Roman" w:eastAsia="仿宋_GB2312" w:cs="Times New Roman"/>
                <w:color w:val="000000"/>
                <w:sz w:val="20"/>
                <w:szCs w:val="20"/>
              </w:rPr>
            </w:pPr>
          </w:p>
        </w:tc>
      </w:tr>
      <w:tr w14:paraId="13C32FF6">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D288E">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30111</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32BD7">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公务员医疗补助缴费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778CD">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FDD08">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30211</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567FA">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差旅费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E9770">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EE435">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31007</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03911">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信息网络及软件购置更新</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87F08">
            <w:pPr>
              <w:jc w:val="right"/>
              <w:rPr>
                <w:rFonts w:hint="default" w:ascii="Times New Roman" w:hAnsi="Times New Roman" w:eastAsia="仿宋_GB2312" w:cs="Times New Roman"/>
                <w:color w:val="000000"/>
                <w:sz w:val="20"/>
                <w:szCs w:val="20"/>
              </w:rPr>
            </w:pPr>
          </w:p>
        </w:tc>
      </w:tr>
      <w:tr w14:paraId="0EE3CE47">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98A78">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30112</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15F8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其他社会保障缴费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0F2B5">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64.39</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27CF3">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30212</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6A11E">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16"/>
                <w:szCs w:val="16"/>
                <w:lang w:bidi="ar"/>
              </w:rPr>
              <w:t xml:space="preserve">  因公出国（境）费用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8AA8F">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07F0B">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31008</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8F68">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物资储备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9DE99">
            <w:pPr>
              <w:jc w:val="right"/>
              <w:rPr>
                <w:rFonts w:hint="default" w:ascii="Times New Roman" w:hAnsi="Times New Roman" w:eastAsia="仿宋_GB2312" w:cs="Times New Roman"/>
                <w:color w:val="000000"/>
                <w:sz w:val="20"/>
                <w:szCs w:val="20"/>
              </w:rPr>
            </w:pPr>
          </w:p>
        </w:tc>
      </w:tr>
      <w:tr w14:paraId="6885433E">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A1D08">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30113</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06B5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住房公积金</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9541A">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79.41</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DCB53">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30213</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CAE20">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维修（护）费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73355">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E02DF">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31009</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C70A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土地补偿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9E606">
            <w:pPr>
              <w:jc w:val="right"/>
              <w:rPr>
                <w:rFonts w:hint="default" w:ascii="Times New Roman" w:hAnsi="Times New Roman" w:eastAsia="仿宋_GB2312" w:cs="Times New Roman"/>
                <w:color w:val="000000"/>
                <w:sz w:val="20"/>
                <w:szCs w:val="20"/>
              </w:rPr>
            </w:pPr>
          </w:p>
        </w:tc>
      </w:tr>
      <w:tr w14:paraId="49BFFA0C">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F444B">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30114</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D6AD7">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医疗费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D5672">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0F920">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30214</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B506A">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租赁费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62343">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B7EA0">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31010</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323FF">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安置补助</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D5BD4">
            <w:pPr>
              <w:jc w:val="right"/>
              <w:rPr>
                <w:rFonts w:hint="default" w:ascii="Times New Roman" w:hAnsi="Times New Roman" w:eastAsia="仿宋_GB2312" w:cs="Times New Roman"/>
                <w:color w:val="000000"/>
                <w:sz w:val="20"/>
                <w:szCs w:val="20"/>
              </w:rPr>
            </w:pPr>
          </w:p>
        </w:tc>
      </w:tr>
      <w:tr w14:paraId="73046829">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203FF">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30199</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E8C4F">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其他工资福利支出</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CD76A">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36.60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EDB67">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30215</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ED97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会议费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3E1E0">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54923">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31011</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7969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地上附着物和青苗补偿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6A6A2">
            <w:pPr>
              <w:jc w:val="right"/>
              <w:rPr>
                <w:rFonts w:hint="default" w:ascii="Times New Roman" w:hAnsi="Times New Roman" w:eastAsia="仿宋_GB2312" w:cs="Times New Roman"/>
                <w:color w:val="000000"/>
                <w:sz w:val="20"/>
                <w:szCs w:val="20"/>
              </w:rPr>
            </w:pPr>
          </w:p>
        </w:tc>
      </w:tr>
      <w:tr w14:paraId="114DD146">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D9390">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61A5D">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对个人和家庭的补助</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0FA9A">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376.48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47B7F">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30216</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AAED0">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培训费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08DF9">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A2DAA">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31012</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60756">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拆迁补偿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F201A">
            <w:pPr>
              <w:jc w:val="right"/>
              <w:rPr>
                <w:rFonts w:hint="default" w:ascii="Times New Roman" w:hAnsi="Times New Roman" w:eastAsia="仿宋_GB2312" w:cs="Times New Roman"/>
                <w:color w:val="000000"/>
                <w:sz w:val="20"/>
                <w:szCs w:val="20"/>
              </w:rPr>
            </w:pPr>
          </w:p>
        </w:tc>
      </w:tr>
      <w:tr w14:paraId="6CF7EFE6">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BAD1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30301</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30C2E">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离休费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DAA43">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EF51B">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30217</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EA9EE">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公务接待费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7BC8E">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5D39F">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31013</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F02A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公务用车购置</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05516">
            <w:pPr>
              <w:jc w:val="right"/>
              <w:rPr>
                <w:rFonts w:hint="default" w:ascii="Times New Roman" w:hAnsi="Times New Roman" w:eastAsia="仿宋_GB2312" w:cs="Times New Roman"/>
                <w:color w:val="000000"/>
                <w:sz w:val="20"/>
                <w:szCs w:val="20"/>
              </w:rPr>
            </w:pPr>
          </w:p>
        </w:tc>
      </w:tr>
      <w:tr w14:paraId="33E3EC3A">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E4CE">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30302</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8D8B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退休费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808B5">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361.72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6B4A">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30218</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83338">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专用材料费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74F9">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CAF29">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31019</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35A6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其他交通工具购置</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8DF29">
            <w:pPr>
              <w:jc w:val="right"/>
              <w:rPr>
                <w:rFonts w:hint="default" w:ascii="Times New Roman" w:hAnsi="Times New Roman" w:eastAsia="仿宋_GB2312" w:cs="Times New Roman"/>
                <w:color w:val="000000"/>
                <w:sz w:val="20"/>
                <w:szCs w:val="20"/>
              </w:rPr>
            </w:pPr>
          </w:p>
        </w:tc>
      </w:tr>
      <w:tr w14:paraId="4E7FC75A">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8499F">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30303</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0AFA8">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退职（役）费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0957">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DCF50">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30224</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DBB2E">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被装购置费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238EC">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274BE">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31021</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E072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文物和陈列品购置</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E7707">
            <w:pPr>
              <w:jc w:val="right"/>
              <w:rPr>
                <w:rFonts w:hint="default" w:ascii="Times New Roman" w:hAnsi="Times New Roman" w:eastAsia="仿宋_GB2312" w:cs="Times New Roman"/>
                <w:color w:val="000000"/>
                <w:sz w:val="20"/>
                <w:szCs w:val="20"/>
              </w:rPr>
            </w:pPr>
          </w:p>
        </w:tc>
      </w:tr>
      <w:tr w14:paraId="3498FD45">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5A44">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30304</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DC40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抚恤金</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CFDC3">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14.35</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4D13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30225</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FBB51">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专用燃料费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60AE9">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27230">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31022</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80FBC">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无形资产购置</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B5BFB">
            <w:pPr>
              <w:jc w:val="right"/>
              <w:rPr>
                <w:rFonts w:hint="default" w:ascii="Times New Roman" w:hAnsi="Times New Roman" w:eastAsia="仿宋_GB2312" w:cs="Times New Roman"/>
                <w:color w:val="000000"/>
                <w:sz w:val="20"/>
                <w:szCs w:val="20"/>
              </w:rPr>
            </w:pPr>
          </w:p>
        </w:tc>
      </w:tr>
      <w:tr w14:paraId="3ADC9066">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BB781">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30305</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2FA6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生活补助</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65354">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E66E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30226</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DD196">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劳务费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C6F25">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3D533">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31099</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D710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其他资本性支出</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8AA1E">
            <w:pPr>
              <w:jc w:val="right"/>
              <w:rPr>
                <w:rFonts w:hint="default" w:ascii="Times New Roman" w:hAnsi="Times New Roman" w:eastAsia="仿宋_GB2312" w:cs="Times New Roman"/>
                <w:color w:val="000000"/>
                <w:sz w:val="20"/>
                <w:szCs w:val="20"/>
              </w:rPr>
            </w:pPr>
          </w:p>
        </w:tc>
      </w:tr>
      <w:tr w14:paraId="303FCCF9">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C2F6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30306</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C6121">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救济费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AA753">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4B733">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30227</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A3793">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委托业务费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1623">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F374A">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399</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3E3F3">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其他支出</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81DEC">
            <w:pPr>
              <w:jc w:val="right"/>
              <w:rPr>
                <w:rFonts w:hint="default" w:ascii="Times New Roman" w:hAnsi="Times New Roman" w:eastAsia="仿宋_GB2312" w:cs="Times New Roman"/>
                <w:color w:val="000000"/>
                <w:sz w:val="20"/>
                <w:szCs w:val="20"/>
              </w:rPr>
            </w:pPr>
          </w:p>
        </w:tc>
      </w:tr>
      <w:tr w14:paraId="5CC53520">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17F7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30307</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7AE73">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医疗费补助</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2AE11">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F282E">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30228</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2EF61">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工会经费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F7137">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B761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39907</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BBD58">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国家赔偿费用支出</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A82EB">
            <w:pPr>
              <w:jc w:val="right"/>
              <w:rPr>
                <w:rFonts w:hint="default" w:ascii="Times New Roman" w:hAnsi="Times New Roman" w:eastAsia="仿宋_GB2312" w:cs="Times New Roman"/>
                <w:color w:val="000000"/>
                <w:sz w:val="20"/>
                <w:szCs w:val="20"/>
              </w:rPr>
            </w:pPr>
          </w:p>
        </w:tc>
      </w:tr>
      <w:tr w14:paraId="3DAB06E2">
        <w:tblPrEx>
          <w:tblCellMar>
            <w:top w:w="15" w:type="dxa"/>
            <w:left w:w="15" w:type="dxa"/>
            <w:bottom w:w="15" w:type="dxa"/>
            <w:right w:w="15" w:type="dxa"/>
          </w:tblCellMar>
        </w:tblPrEx>
        <w:trPr>
          <w:trHeight w:val="462"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5EA6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30308</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BCF28">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助学金</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5D024">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BE5F7">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30229</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8D6D8">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福利费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A2EF">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7DDB1">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39908</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AD305">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对民间非营利组织和群众性自治组织补贴</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076CA">
            <w:pPr>
              <w:jc w:val="right"/>
              <w:rPr>
                <w:rFonts w:hint="default" w:ascii="Times New Roman" w:hAnsi="Times New Roman" w:eastAsia="仿宋_GB2312" w:cs="Times New Roman"/>
                <w:color w:val="000000"/>
                <w:sz w:val="20"/>
                <w:szCs w:val="20"/>
              </w:rPr>
            </w:pPr>
          </w:p>
        </w:tc>
      </w:tr>
      <w:tr w14:paraId="1C44E96C">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2F61B">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30309</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35F99">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奖励金</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0CB73">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D5E1F">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30231</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D0BEE">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w:t>
            </w:r>
            <w:r>
              <w:rPr>
                <w:rFonts w:hint="default" w:ascii="Times New Roman" w:hAnsi="Times New Roman" w:eastAsia="仿宋_GB2312" w:cs="Times New Roman"/>
                <w:color w:val="000000"/>
                <w:kern w:val="0"/>
                <w:sz w:val="16"/>
                <w:szCs w:val="16"/>
                <w:lang w:bidi="ar"/>
              </w:rPr>
              <w:t xml:space="preserve"> 公务用车运行维护费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651DA">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FF20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39909</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D276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经常性赠与</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502DB">
            <w:pPr>
              <w:jc w:val="right"/>
              <w:rPr>
                <w:rFonts w:hint="default" w:ascii="Times New Roman" w:hAnsi="Times New Roman" w:eastAsia="仿宋_GB2312" w:cs="Times New Roman"/>
                <w:color w:val="000000"/>
                <w:sz w:val="20"/>
                <w:szCs w:val="20"/>
              </w:rPr>
            </w:pPr>
          </w:p>
        </w:tc>
      </w:tr>
      <w:tr w14:paraId="5A768ABA">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71A69">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30310</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2AD91">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个人农业生产补贴</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FAE14">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65234">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30239</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32454">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其他交通费用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F1E9C">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3E36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39910</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26CD8">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资本性赠与</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C9F70">
            <w:pPr>
              <w:jc w:val="right"/>
              <w:rPr>
                <w:rFonts w:hint="default" w:ascii="Times New Roman" w:hAnsi="Times New Roman" w:eastAsia="仿宋_GB2312" w:cs="Times New Roman"/>
                <w:color w:val="000000"/>
                <w:sz w:val="20"/>
                <w:szCs w:val="20"/>
              </w:rPr>
            </w:pPr>
          </w:p>
        </w:tc>
      </w:tr>
      <w:tr w14:paraId="413A2543">
        <w:tblPrEx>
          <w:tblCellMar>
            <w:top w:w="15" w:type="dxa"/>
            <w:left w:w="15" w:type="dxa"/>
            <w:bottom w:w="15" w:type="dxa"/>
            <w:right w:w="15" w:type="dxa"/>
          </w:tblCellMar>
        </w:tblPrEx>
        <w:trPr>
          <w:trHeight w:val="33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ACB13">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30311</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EF85D">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代缴社会保险费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9A5C2">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FCF7">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30240</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4D2ED">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税金及附加费用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89277">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0471">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39999</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F903B">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其他支出</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515BC">
            <w:pPr>
              <w:jc w:val="right"/>
              <w:rPr>
                <w:rFonts w:hint="default" w:ascii="Times New Roman" w:hAnsi="Times New Roman" w:eastAsia="仿宋_GB2312" w:cs="Times New Roman"/>
                <w:color w:val="000000"/>
                <w:sz w:val="20"/>
                <w:szCs w:val="20"/>
              </w:rPr>
            </w:pPr>
          </w:p>
        </w:tc>
      </w:tr>
      <w:tr w14:paraId="74A0456D">
        <w:tblPrEx>
          <w:tblCellMar>
            <w:top w:w="15" w:type="dxa"/>
            <w:left w:w="15" w:type="dxa"/>
            <w:bottom w:w="15" w:type="dxa"/>
            <w:right w:w="15" w:type="dxa"/>
          </w:tblCellMar>
        </w:tblPrEx>
        <w:trPr>
          <w:trHeight w:val="293" w:hRule="atLeast"/>
          <w:jc w:val="cent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3711D">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30399</w:t>
            </w:r>
          </w:p>
        </w:tc>
        <w:tc>
          <w:tcPr>
            <w:tcW w:w="1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A076D">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其他对个人和家庭的补助</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D34BB">
            <w:pPr>
              <w:keepNext w:val="0"/>
              <w:keepLines w:val="0"/>
              <w:widowControl/>
              <w:suppressLineNumbers w:val="0"/>
              <w:snapToGrid w:val="0"/>
              <w:jc w:val="right"/>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0.41</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65538">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30299</w:t>
            </w:r>
          </w:p>
        </w:tc>
        <w:tc>
          <w:tcPr>
            <w:tcW w:w="7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8166">
            <w:pPr>
              <w:widowControl/>
              <w:jc w:val="lef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 xml:space="preserve"> </w:t>
            </w:r>
            <w:r>
              <w:rPr>
                <w:rFonts w:hint="default" w:ascii="Times New Roman" w:hAnsi="Times New Roman" w:eastAsia="仿宋_GB2312" w:cs="Times New Roman"/>
                <w:color w:val="000000"/>
                <w:kern w:val="0"/>
                <w:sz w:val="16"/>
                <w:szCs w:val="16"/>
                <w:lang w:bidi="ar"/>
              </w:rPr>
              <w:t xml:space="preserve"> 其他商品和服务支出</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C7B6B">
            <w:pPr>
              <w:jc w:val="right"/>
              <w:rPr>
                <w:rFonts w:hint="default" w:ascii="Times New Roman" w:hAnsi="Times New Roman" w:eastAsia="仿宋_GB2312" w:cs="Times New Roman"/>
                <w:color w:val="000000"/>
                <w:sz w:val="20"/>
                <w:szCs w:val="20"/>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D7EA7">
            <w:pPr>
              <w:jc w:val="center"/>
              <w:rPr>
                <w:rFonts w:hint="default" w:ascii="Times New Roman" w:hAnsi="Times New Roman" w:eastAsia="仿宋_GB2312" w:cs="Times New Roman"/>
                <w:color w:val="000000"/>
                <w:sz w:val="18"/>
                <w:szCs w:val="18"/>
              </w:rPr>
            </w:pP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970AE">
            <w:pPr>
              <w:rPr>
                <w:rFonts w:hint="default" w:ascii="Times New Roman" w:hAnsi="Times New Roman" w:eastAsia="仿宋_GB2312" w:cs="Times New Roman"/>
                <w:color w:val="000000"/>
                <w:sz w:val="18"/>
                <w:szCs w:val="18"/>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E773D">
            <w:pPr>
              <w:jc w:val="right"/>
              <w:rPr>
                <w:rFonts w:hint="default" w:ascii="Times New Roman" w:hAnsi="Times New Roman" w:eastAsia="仿宋_GB2312" w:cs="Times New Roman"/>
                <w:color w:val="000000"/>
                <w:sz w:val="20"/>
                <w:szCs w:val="20"/>
              </w:rPr>
            </w:pPr>
          </w:p>
        </w:tc>
      </w:tr>
      <w:tr w14:paraId="0AB421B5">
        <w:tblPrEx>
          <w:tblCellMar>
            <w:top w:w="15" w:type="dxa"/>
            <w:left w:w="15" w:type="dxa"/>
            <w:bottom w:w="15" w:type="dxa"/>
            <w:right w:w="15" w:type="dxa"/>
          </w:tblCellMar>
        </w:tblPrEx>
        <w:trPr>
          <w:trHeight w:val="343" w:hRule="atLeast"/>
          <w:jc w:val="center"/>
        </w:trPr>
        <w:tc>
          <w:tcPr>
            <w:tcW w:w="13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C0122">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人员经费合计</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95296">
            <w:pPr>
              <w:jc w:val="righ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1660.91</w:t>
            </w:r>
          </w:p>
        </w:tc>
        <w:tc>
          <w:tcPr>
            <w:tcW w:w="28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B27A46">
            <w:pPr>
              <w:widowControl/>
              <w:jc w:val="center"/>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公用经费合计</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5FB06">
            <w:pPr>
              <w:jc w:val="right"/>
              <w:rPr>
                <w:rFonts w:hint="default" w:ascii="Times New Roman" w:hAnsi="Times New Roman" w:eastAsia="仿宋_GB2312" w:cs="Times New Roman"/>
                <w:color w:val="000000"/>
                <w:sz w:val="18"/>
                <w:szCs w:val="18"/>
              </w:rPr>
            </w:pPr>
          </w:p>
        </w:tc>
      </w:tr>
    </w:tbl>
    <w:p w14:paraId="4D714645">
      <w:pPr>
        <w:rPr>
          <w:rFonts w:hint="default" w:ascii="Times New Roman" w:hAnsi="Times New Roman" w:eastAsia="仿宋_GB2312" w:cs="Times New Roman"/>
        </w:rPr>
        <w:sectPr>
          <w:pgSz w:w="16838" w:h="11906" w:orient="landscape"/>
          <w:pgMar w:top="1474" w:right="1474" w:bottom="1474" w:left="1474" w:header="851" w:footer="992" w:gutter="0"/>
          <w:cols w:space="425" w:num="1"/>
          <w:rtlGutter w:val="0"/>
          <w:docGrid w:type="lines" w:linePitch="319" w:charSpace="0"/>
        </w:sect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一般公共预算财政拨款基本支出明细情况。</w:t>
      </w:r>
    </w:p>
    <w:tbl>
      <w:tblPr>
        <w:tblStyle w:val="9"/>
        <w:tblW w:w="5000" w:type="pct"/>
        <w:jc w:val="center"/>
        <w:tblLayout w:type="autofit"/>
        <w:tblCellMar>
          <w:top w:w="15" w:type="dxa"/>
          <w:left w:w="15" w:type="dxa"/>
          <w:bottom w:w="15" w:type="dxa"/>
          <w:right w:w="15" w:type="dxa"/>
        </w:tblCellMar>
      </w:tblPr>
      <w:tblGrid>
        <w:gridCol w:w="734"/>
        <w:gridCol w:w="534"/>
        <w:gridCol w:w="2695"/>
        <w:gridCol w:w="2684"/>
        <w:gridCol w:w="1448"/>
        <w:gridCol w:w="1448"/>
        <w:gridCol w:w="1448"/>
        <w:gridCol w:w="1462"/>
        <w:gridCol w:w="1467"/>
      </w:tblGrid>
      <w:tr w14:paraId="052A3B66">
        <w:tblPrEx>
          <w:tblCellMar>
            <w:top w:w="15" w:type="dxa"/>
            <w:left w:w="15" w:type="dxa"/>
            <w:bottom w:w="15" w:type="dxa"/>
            <w:right w:w="15" w:type="dxa"/>
          </w:tblCellMar>
        </w:tblPrEx>
        <w:trPr>
          <w:trHeight w:val="600" w:hRule="atLeast"/>
          <w:jc w:val="center"/>
        </w:trPr>
        <w:tc>
          <w:tcPr>
            <w:tcW w:w="5000" w:type="pct"/>
            <w:gridSpan w:val="9"/>
            <w:shd w:val="clear" w:color="auto" w:fill="FFFFFF"/>
            <w:vAlign w:val="center"/>
          </w:tcPr>
          <w:p w14:paraId="0490C5F4">
            <w:pPr>
              <w:widowControl/>
              <w:jc w:val="center"/>
              <w:textAlignment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kern w:val="0"/>
                <w:sz w:val="32"/>
                <w:szCs w:val="32"/>
                <w:lang w:bidi="ar"/>
              </w:rPr>
              <w:t>政府性基金预算财政拨款收入支出决算表</w:t>
            </w:r>
          </w:p>
        </w:tc>
      </w:tr>
      <w:tr w14:paraId="1712F56C">
        <w:tblPrEx>
          <w:tblCellMar>
            <w:top w:w="15" w:type="dxa"/>
            <w:left w:w="15" w:type="dxa"/>
            <w:bottom w:w="15" w:type="dxa"/>
            <w:right w:w="15" w:type="dxa"/>
          </w:tblCellMar>
        </w:tblPrEx>
        <w:trPr>
          <w:trHeight w:val="211" w:hRule="atLeast"/>
          <w:jc w:val="center"/>
        </w:trPr>
        <w:tc>
          <w:tcPr>
            <w:tcW w:w="264" w:type="pct"/>
            <w:shd w:val="clear" w:color="auto" w:fill="FFFFFF"/>
            <w:vAlign w:val="center"/>
          </w:tcPr>
          <w:p w14:paraId="0569D229">
            <w:pPr>
              <w:jc w:val="center"/>
              <w:rPr>
                <w:rFonts w:hint="default" w:ascii="Times New Roman" w:hAnsi="Times New Roman" w:eastAsia="仿宋_GB2312" w:cs="Times New Roman"/>
                <w:color w:val="000000"/>
                <w:sz w:val="20"/>
                <w:szCs w:val="20"/>
              </w:rPr>
            </w:pPr>
          </w:p>
        </w:tc>
        <w:tc>
          <w:tcPr>
            <w:tcW w:w="191" w:type="pct"/>
            <w:shd w:val="clear" w:color="auto" w:fill="FFFFFF"/>
            <w:vAlign w:val="center"/>
          </w:tcPr>
          <w:p w14:paraId="5E70F308">
            <w:pPr>
              <w:jc w:val="center"/>
              <w:rPr>
                <w:rFonts w:hint="default" w:ascii="Times New Roman" w:hAnsi="Times New Roman" w:eastAsia="仿宋_GB2312" w:cs="Times New Roman"/>
                <w:color w:val="000000"/>
                <w:sz w:val="20"/>
                <w:szCs w:val="20"/>
              </w:rPr>
            </w:pPr>
          </w:p>
        </w:tc>
        <w:tc>
          <w:tcPr>
            <w:tcW w:w="968" w:type="pct"/>
            <w:shd w:val="clear" w:color="auto" w:fill="FFFFFF"/>
            <w:vAlign w:val="center"/>
          </w:tcPr>
          <w:p w14:paraId="2D63296D">
            <w:pPr>
              <w:jc w:val="center"/>
              <w:rPr>
                <w:rFonts w:hint="default" w:ascii="Times New Roman" w:hAnsi="Times New Roman" w:eastAsia="仿宋_GB2312" w:cs="Times New Roman"/>
                <w:color w:val="000000"/>
                <w:sz w:val="20"/>
                <w:szCs w:val="20"/>
              </w:rPr>
            </w:pPr>
          </w:p>
        </w:tc>
        <w:tc>
          <w:tcPr>
            <w:tcW w:w="964" w:type="pct"/>
            <w:shd w:val="clear" w:color="auto" w:fill="auto"/>
            <w:vAlign w:val="bottom"/>
          </w:tcPr>
          <w:p w14:paraId="3E3B4265">
            <w:pPr>
              <w:rPr>
                <w:rFonts w:hint="default" w:ascii="Times New Roman" w:hAnsi="Times New Roman" w:eastAsia="仿宋_GB2312" w:cs="Times New Roman"/>
                <w:color w:val="000000"/>
                <w:sz w:val="24"/>
              </w:rPr>
            </w:pPr>
          </w:p>
        </w:tc>
        <w:tc>
          <w:tcPr>
            <w:tcW w:w="520" w:type="pct"/>
            <w:shd w:val="clear" w:color="auto" w:fill="auto"/>
            <w:vAlign w:val="bottom"/>
          </w:tcPr>
          <w:p w14:paraId="1CF93808">
            <w:pPr>
              <w:rPr>
                <w:rFonts w:hint="default" w:ascii="Times New Roman" w:hAnsi="Times New Roman" w:eastAsia="仿宋_GB2312" w:cs="Times New Roman"/>
                <w:color w:val="000000"/>
                <w:sz w:val="24"/>
              </w:rPr>
            </w:pPr>
          </w:p>
        </w:tc>
        <w:tc>
          <w:tcPr>
            <w:tcW w:w="520" w:type="pct"/>
            <w:shd w:val="clear" w:color="auto" w:fill="auto"/>
            <w:vAlign w:val="bottom"/>
          </w:tcPr>
          <w:p w14:paraId="391FD911">
            <w:pPr>
              <w:rPr>
                <w:rFonts w:hint="default" w:ascii="Times New Roman" w:hAnsi="Times New Roman" w:eastAsia="仿宋_GB2312" w:cs="Times New Roman"/>
                <w:color w:val="000000"/>
                <w:sz w:val="24"/>
              </w:rPr>
            </w:pPr>
          </w:p>
        </w:tc>
        <w:tc>
          <w:tcPr>
            <w:tcW w:w="520" w:type="pct"/>
            <w:shd w:val="clear" w:color="auto" w:fill="auto"/>
            <w:vAlign w:val="bottom"/>
          </w:tcPr>
          <w:p w14:paraId="4EBEF5FB">
            <w:pPr>
              <w:rPr>
                <w:rFonts w:hint="default" w:ascii="Times New Roman" w:hAnsi="Times New Roman" w:eastAsia="仿宋_GB2312" w:cs="Times New Roman"/>
                <w:color w:val="000000"/>
                <w:sz w:val="24"/>
              </w:rPr>
            </w:pPr>
          </w:p>
        </w:tc>
        <w:tc>
          <w:tcPr>
            <w:tcW w:w="525" w:type="pct"/>
            <w:shd w:val="clear" w:color="auto" w:fill="auto"/>
            <w:vAlign w:val="bottom"/>
          </w:tcPr>
          <w:p w14:paraId="432A35E6">
            <w:pPr>
              <w:rPr>
                <w:rFonts w:hint="default" w:ascii="Times New Roman" w:hAnsi="Times New Roman" w:eastAsia="仿宋_GB2312" w:cs="Times New Roman"/>
                <w:color w:val="000000"/>
                <w:sz w:val="24"/>
              </w:rPr>
            </w:pPr>
          </w:p>
        </w:tc>
        <w:tc>
          <w:tcPr>
            <w:tcW w:w="525" w:type="pct"/>
            <w:shd w:val="clear" w:color="auto" w:fill="FFFFFF"/>
            <w:vAlign w:val="center"/>
          </w:tcPr>
          <w:p w14:paraId="2C83B39B">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公开07表</w:t>
            </w:r>
          </w:p>
        </w:tc>
      </w:tr>
      <w:tr w14:paraId="4D041096">
        <w:tblPrEx>
          <w:tblCellMar>
            <w:top w:w="15" w:type="dxa"/>
            <w:left w:w="15" w:type="dxa"/>
            <w:bottom w:w="15" w:type="dxa"/>
            <w:right w:w="15" w:type="dxa"/>
          </w:tblCellMar>
        </w:tblPrEx>
        <w:trPr>
          <w:trHeight w:val="301" w:hRule="atLeast"/>
          <w:jc w:val="center"/>
        </w:trPr>
        <w:tc>
          <w:tcPr>
            <w:tcW w:w="1424" w:type="pct"/>
            <w:gridSpan w:val="3"/>
            <w:shd w:val="clear" w:color="auto" w:fill="FFFFFF"/>
            <w:vAlign w:val="center"/>
          </w:tcPr>
          <w:p w14:paraId="010DAEB1">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964" w:type="pct"/>
            <w:shd w:val="clear" w:color="auto" w:fill="FFFFFF"/>
            <w:vAlign w:val="center"/>
          </w:tcPr>
          <w:p w14:paraId="4EE46F9D">
            <w:pPr>
              <w:rPr>
                <w:rFonts w:hint="default" w:ascii="Times New Roman" w:hAnsi="Times New Roman" w:eastAsia="仿宋_GB2312" w:cs="Times New Roman"/>
                <w:color w:val="000000"/>
                <w:sz w:val="20"/>
                <w:szCs w:val="20"/>
              </w:rPr>
            </w:pPr>
          </w:p>
        </w:tc>
        <w:tc>
          <w:tcPr>
            <w:tcW w:w="520" w:type="pct"/>
            <w:shd w:val="clear" w:color="auto" w:fill="FFFFFF"/>
            <w:vAlign w:val="center"/>
          </w:tcPr>
          <w:p w14:paraId="6A2276C2">
            <w:pP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2025年度</w:t>
            </w:r>
          </w:p>
        </w:tc>
        <w:tc>
          <w:tcPr>
            <w:tcW w:w="520" w:type="pct"/>
            <w:shd w:val="clear" w:color="auto" w:fill="FFFFFF"/>
            <w:vAlign w:val="center"/>
          </w:tcPr>
          <w:p w14:paraId="77A07DE5">
            <w:pPr>
              <w:rPr>
                <w:rFonts w:hint="default" w:ascii="Times New Roman" w:hAnsi="Times New Roman" w:eastAsia="仿宋_GB2312" w:cs="Times New Roman"/>
                <w:color w:val="000000"/>
                <w:sz w:val="20"/>
                <w:szCs w:val="20"/>
              </w:rPr>
            </w:pPr>
          </w:p>
        </w:tc>
        <w:tc>
          <w:tcPr>
            <w:tcW w:w="520" w:type="pct"/>
            <w:shd w:val="clear" w:color="auto" w:fill="FFFFFF"/>
            <w:vAlign w:val="center"/>
          </w:tcPr>
          <w:p w14:paraId="3D1CDC45">
            <w:pPr>
              <w:rPr>
                <w:rFonts w:hint="default" w:ascii="Times New Roman" w:hAnsi="Times New Roman" w:eastAsia="仿宋_GB2312" w:cs="Times New Roman"/>
                <w:color w:val="000000"/>
                <w:sz w:val="20"/>
                <w:szCs w:val="20"/>
              </w:rPr>
            </w:pPr>
          </w:p>
        </w:tc>
        <w:tc>
          <w:tcPr>
            <w:tcW w:w="525" w:type="pct"/>
            <w:shd w:val="clear" w:color="auto" w:fill="FFFFFF"/>
            <w:vAlign w:val="center"/>
          </w:tcPr>
          <w:p w14:paraId="6D6193C1">
            <w:pPr>
              <w:rPr>
                <w:rFonts w:hint="default" w:ascii="Times New Roman" w:hAnsi="Times New Roman" w:eastAsia="仿宋_GB2312" w:cs="Times New Roman"/>
                <w:color w:val="000000"/>
                <w:sz w:val="20"/>
                <w:szCs w:val="20"/>
              </w:rPr>
            </w:pPr>
          </w:p>
        </w:tc>
        <w:tc>
          <w:tcPr>
            <w:tcW w:w="525" w:type="pct"/>
            <w:shd w:val="clear" w:color="auto" w:fill="FFFFFF"/>
            <w:vAlign w:val="center"/>
          </w:tcPr>
          <w:p w14:paraId="5E3232BF">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单位：万元</w:t>
            </w:r>
          </w:p>
        </w:tc>
      </w:tr>
      <w:tr w14:paraId="7DD12D06">
        <w:tblPrEx>
          <w:tblCellMar>
            <w:top w:w="15" w:type="dxa"/>
            <w:left w:w="15" w:type="dxa"/>
            <w:bottom w:w="15" w:type="dxa"/>
            <w:right w:w="15" w:type="dxa"/>
          </w:tblCellMar>
        </w:tblPrEx>
        <w:trPr>
          <w:trHeight w:val="405" w:hRule="atLeast"/>
          <w:jc w:val="center"/>
        </w:trPr>
        <w:tc>
          <w:tcPr>
            <w:tcW w:w="14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68A45F">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 xml:space="preserve">项    </w:t>
            </w:r>
            <w:r>
              <w:rPr>
                <w:rStyle w:val="22"/>
                <w:rFonts w:hint="default" w:ascii="Times New Roman" w:hAnsi="Times New Roman" w:eastAsia="仿宋_GB2312" w:cs="Times New Roman"/>
                <w:b/>
                <w:bCs/>
                <w:sz w:val="22"/>
                <w:szCs w:val="22"/>
                <w:lang w:bidi="ar"/>
              </w:rPr>
              <w:t>目</w:t>
            </w:r>
          </w:p>
        </w:tc>
        <w:tc>
          <w:tcPr>
            <w:tcW w:w="9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39A74">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年初结转和结余</w:t>
            </w:r>
          </w:p>
        </w:tc>
        <w:tc>
          <w:tcPr>
            <w:tcW w:w="5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AF514">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本年收入</w:t>
            </w:r>
          </w:p>
        </w:tc>
        <w:tc>
          <w:tcPr>
            <w:tcW w:w="15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7C8074">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本年支出</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D771EC">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年末结转和结余</w:t>
            </w:r>
          </w:p>
        </w:tc>
      </w:tr>
      <w:tr w14:paraId="23BCABD8">
        <w:tblPrEx>
          <w:tblCellMar>
            <w:top w:w="15" w:type="dxa"/>
            <w:left w:w="15" w:type="dxa"/>
            <w:bottom w:w="15" w:type="dxa"/>
            <w:right w:w="15" w:type="dxa"/>
          </w:tblCellMar>
        </w:tblPrEx>
        <w:trPr>
          <w:trHeight w:val="540" w:hRule="atLeast"/>
          <w:jc w:val="center"/>
        </w:trPr>
        <w:tc>
          <w:tcPr>
            <w:tcW w:w="45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E8D90">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科目代码</w:t>
            </w:r>
          </w:p>
        </w:tc>
        <w:tc>
          <w:tcPr>
            <w:tcW w:w="9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259AF">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科目名称</w:t>
            </w:r>
          </w:p>
        </w:tc>
        <w:tc>
          <w:tcPr>
            <w:tcW w:w="9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F5AA3">
            <w:pPr>
              <w:jc w:val="center"/>
              <w:rPr>
                <w:rFonts w:hint="default" w:ascii="Times New Roman" w:hAnsi="Times New Roman" w:eastAsia="仿宋_GB2312" w:cs="Times New Roman"/>
                <w:b/>
                <w:bCs/>
                <w:color w:val="000000"/>
                <w:sz w:val="22"/>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2AFCF">
            <w:pPr>
              <w:jc w:val="center"/>
              <w:rPr>
                <w:rFonts w:hint="default" w:ascii="Times New Roman" w:hAnsi="Times New Roman" w:eastAsia="仿宋_GB2312" w:cs="Times New Roman"/>
                <w:b/>
                <w:bCs/>
                <w:color w:val="000000"/>
                <w:sz w:val="22"/>
              </w:rPr>
            </w:pPr>
          </w:p>
        </w:tc>
        <w:tc>
          <w:tcPr>
            <w:tcW w:w="5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13E25">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小计</w:t>
            </w:r>
          </w:p>
        </w:tc>
        <w:tc>
          <w:tcPr>
            <w:tcW w:w="5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DD71E">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 xml:space="preserve">基本支出  </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CB405">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项目支出</w:t>
            </w: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44BBD">
            <w:pPr>
              <w:jc w:val="center"/>
              <w:rPr>
                <w:rFonts w:hint="default" w:ascii="Times New Roman" w:hAnsi="Times New Roman" w:eastAsia="仿宋_GB2312" w:cs="Times New Roman"/>
                <w:b/>
                <w:bCs/>
                <w:color w:val="000000"/>
                <w:sz w:val="22"/>
              </w:rPr>
            </w:pPr>
          </w:p>
        </w:tc>
      </w:tr>
      <w:tr w14:paraId="4B9181C6">
        <w:tblPrEx>
          <w:tblCellMar>
            <w:top w:w="15" w:type="dxa"/>
            <w:left w:w="15" w:type="dxa"/>
            <w:bottom w:w="15" w:type="dxa"/>
            <w:right w:w="15" w:type="dxa"/>
          </w:tblCellMar>
        </w:tblPrEx>
        <w:trPr>
          <w:trHeight w:val="360" w:hRule="atLeast"/>
          <w:jc w:val="center"/>
        </w:trPr>
        <w:tc>
          <w:tcPr>
            <w:tcW w:w="45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7E382">
            <w:pPr>
              <w:jc w:val="center"/>
              <w:rPr>
                <w:rFonts w:hint="default" w:ascii="Times New Roman" w:hAnsi="Times New Roman" w:eastAsia="仿宋_GB2312" w:cs="Times New Roman"/>
                <w:color w:val="000000"/>
                <w:sz w:val="22"/>
              </w:rPr>
            </w:pPr>
          </w:p>
        </w:tc>
        <w:tc>
          <w:tcPr>
            <w:tcW w:w="9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D06D0">
            <w:pPr>
              <w:jc w:val="center"/>
              <w:rPr>
                <w:rFonts w:hint="default" w:ascii="Times New Roman" w:hAnsi="Times New Roman" w:eastAsia="仿宋_GB2312" w:cs="Times New Roman"/>
                <w:color w:val="000000"/>
                <w:sz w:val="22"/>
              </w:rPr>
            </w:pPr>
          </w:p>
        </w:tc>
        <w:tc>
          <w:tcPr>
            <w:tcW w:w="9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553CA">
            <w:pPr>
              <w:jc w:val="center"/>
              <w:rPr>
                <w:rFonts w:hint="default" w:ascii="Times New Roman" w:hAnsi="Times New Roman" w:eastAsia="仿宋_GB2312" w:cs="Times New Roman"/>
                <w:color w:val="000000"/>
                <w:sz w:val="22"/>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6229E">
            <w:pPr>
              <w:jc w:val="center"/>
              <w:rPr>
                <w:rFonts w:hint="default" w:ascii="Times New Roman" w:hAnsi="Times New Roman" w:eastAsia="仿宋_GB2312" w:cs="Times New Roman"/>
                <w:color w:val="000000"/>
                <w:sz w:val="22"/>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801C4">
            <w:pPr>
              <w:jc w:val="center"/>
              <w:rPr>
                <w:rFonts w:hint="default" w:ascii="Times New Roman" w:hAnsi="Times New Roman" w:eastAsia="仿宋_GB2312" w:cs="Times New Roman"/>
                <w:color w:val="000000"/>
                <w:sz w:val="22"/>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DAD3D">
            <w:pPr>
              <w:jc w:val="center"/>
              <w:rPr>
                <w:rFonts w:hint="default" w:ascii="Times New Roman" w:hAnsi="Times New Roman" w:eastAsia="仿宋_GB2312" w:cs="Times New Roman"/>
                <w:color w:val="000000"/>
                <w:sz w:val="22"/>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4CF49">
            <w:pPr>
              <w:jc w:val="center"/>
              <w:rPr>
                <w:rFonts w:hint="default" w:ascii="Times New Roman" w:hAnsi="Times New Roman" w:eastAsia="仿宋_GB2312" w:cs="Times New Roman"/>
                <w:color w:val="000000"/>
                <w:sz w:val="22"/>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08D3B">
            <w:pPr>
              <w:jc w:val="center"/>
              <w:rPr>
                <w:rFonts w:hint="default" w:ascii="Times New Roman" w:hAnsi="Times New Roman" w:eastAsia="仿宋_GB2312" w:cs="Times New Roman"/>
                <w:color w:val="000000"/>
                <w:sz w:val="22"/>
              </w:rPr>
            </w:pPr>
          </w:p>
        </w:tc>
      </w:tr>
      <w:tr w14:paraId="79F4CBED">
        <w:tblPrEx>
          <w:tblCellMar>
            <w:top w:w="15" w:type="dxa"/>
            <w:left w:w="15" w:type="dxa"/>
            <w:bottom w:w="15" w:type="dxa"/>
            <w:right w:w="15" w:type="dxa"/>
          </w:tblCellMar>
        </w:tblPrEx>
        <w:trPr>
          <w:trHeight w:val="450" w:hRule="atLeast"/>
          <w:jc w:val="center"/>
        </w:trPr>
        <w:tc>
          <w:tcPr>
            <w:tcW w:w="45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F076E">
            <w:pPr>
              <w:jc w:val="center"/>
              <w:rPr>
                <w:rFonts w:hint="default" w:ascii="Times New Roman" w:hAnsi="Times New Roman" w:eastAsia="仿宋_GB2312" w:cs="Times New Roman"/>
                <w:color w:val="000000"/>
                <w:sz w:val="22"/>
              </w:rPr>
            </w:pPr>
          </w:p>
        </w:tc>
        <w:tc>
          <w:tcPr>
            <w:tcW w:w="9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43132">
            <w:pPr>
              <w:jc w:val="center"/>
              <w:rPr>
                <w:rFonts w:hint="default" w:ascii="Times New Roman" w:hAnsi="Times New Roman" w:eastAsia="仿宋_GB2312" w:cs="Times New Roman"/>
                <w:color w:val="000000"/>
                <w:sz w:val="22"/>
              </w:rPr>
            </w:pPr>
          </w:p>
        </w:tc>
        <w:tc>
          <w:tcPr>
            <w:tcW w:w="9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6BEE6">
            <w:pPr>
              <w:jc w:val="center"/>
              <w:rPr>
                <w:rFonts w:hint="default" w:ascii="Times New Roman" w:hAnsi="Times New Roman" w:eastAsia="仿宋_GB2312" w:cs="Times New Roman"/>
                <w:color w:val="000000"/>
                <w:sz w:val="22"/>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33841">
            <w:pPr>
              <w:jc w:val="center"/>
              <w:rPr>
                <w:rFonts w:hint="default" w:ascii="Times New Roman" w:hAnsi="Times New Roman" w:eastAsia="仿宋_GB2312" w:cs="Times New Roman"/>
                <w:color w:val="000000"/>
                <w:sz w:val="22"/>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03604">
            <w:pPr>
              <w:jc w:val="center"/>
              <w:rPr>
                <w:rFonts w:hint="default" w:ascii="Times New Roman" w:hAnsi="Times New Roman" w:eastAsia="仿宋_GB2312" w:cs="Times New Roman"/>
                <w:color w:val="000000"/>
                <w:sz w:val="22"/>
              </w:rPr>
            </w:pP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A5B0E">
            <w:pPr>
              <w:jc w:val="center"/>
              <w:rPr>
                <w:rFonts w:hint="default" w:ascii="Times New Roman" w:hAnsi="Times New Roman" w:eastAsia="仿宋_GB2312" w:cs="Times New Roman"/>
                <w:color w:val="000000"/>
                <w:sz w:val="22"/>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0BD56">
            <w:pPr>
              <w:jc w:val="center"/>
              <w:rPr>
                <w:rFonts w:hint="default" w:ascii="Times New Roman" w:hAnsi="Times New Roman" w:eastAsia="仿宋_GB2312" w:cs="Times New Roman"/>
                <w:color w:val="000000"/>
                <w:sz w:val="22"/>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344F2">
            <w:pPr>
              <w:jc w:val="center"/>
              <w:rPr>
                <w:rFonts w:hint="default" w:ascii="Times New Roman" w:hAnsi="Times New Roman" w:eastAsia="仿宋_GB2312" w:cs="Times New Roman"/>
                <w:color w:val="000000"/>
                <w:sz w:val="22"/>
              </w:rPr>
            </w:pPr>
          </w:p>
        </w:tc>
      </w:tr>
      <w:tr w14:paraId="1E6DFABC">
        <w:tblPrEx>
          <w:tblCellMar>
            <w:top w:w="15" w:type="dxa"/>
            <w:left w:w="15" w:type="dxa"/>
            <w:bottom w:w="15" w:type="dxa"/>
            <w:right w:w="15" w:type="dxa"/>
          </w:tblCellMar>
        </w:tblPrEx>
        <w:trPr>
          <w:trHeight w:val="450" w:hRule="atLeast"/>
          <w:jc w:val="center"/>
        </w:trPr>
        <w:tc>
          <w:tcPr>
            <w:tcW w:w="14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7740CA">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栏次</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80840">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1</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44C2">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2</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113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3</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42207">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4</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90E3C">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5</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A339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6</w:t>
            </w:r>
          </w:p>
        </w:tc>
      </w:tr>
      <w:tr w14:paraId="71D8DBA4">
        <w:tblPrEx>
          <w:tblCellMar>
            <w:top w:w="15" w:type="dxa"/>
            <w:left w:w="15" w:type="dxa"/>
            <w:bottom w:w="15" w:type="dxa"/>
            <w:right w:w="15" w:type="dxa"/>
          </w:tblCellMar>
        </w:tblPrEx>
        <w:trPr>
          <w:trHeight w:val="450" w:hRule="atLeast"/>
          <w:jc w:val="center"/>
        </w:trPr>
        <w:tc>
          <w:tcPr>
            <w:tcW w:w="14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69C320">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szCs w:val="24"/>
                <w:lang w:bidi="ar"/>
              </w:rPr>
              <w:t>合计</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C761F">
            <w:pPr>
              <w:jc w:val="center"/>
              <w:rPr>
                <w:rFonts w:hint="default" w:ascii="Times New Roman" w:hAnsi="Times New Roman" w:eastAsia="仿宋_GB2312" w:cs="Times New Roman"/>
                <w:color w:val="000000"/>
                <w:sz w:val="24"/>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8404A">
            <w:pPr>
              <w:jc w:val="center"/>
              <w:rPr>
                <w:rFonts w:hint="default" w:ascii="Times New Roman" w:hAnsi="Times New Roman" w:eastAsia="仿宋_GB2312" w:cs="Times New Roman"/>
                <w:color w:val="000000"/>
                <w:sz w:val="24"/>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570A6">
            <w:pPr>
              <w:jc w:val="center"/>
              <w:rPr>
                <w:rFonts w:hint="default" w:ascii="Times New Roman" w:hAnsi="Times New Roman" w:eastAsia="仿宋_GB2312" w:cs="Times New Roman"/>
                <w:color w:val="000000"/>
                <w:sz w:val="24"/>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423A1">
            <w:pPr>
              <w:jc w:val="center"/>
              <w:rPr>
                <w:rFonts w:hint="default" w:ascii="Times New Roman" w:hAnsi="Times New Roman" w:eastAsia="仿宋_GB2312" w:cs="Times New Roman"/>
                <w:color w:val="000000"/>
                <w:sz w:val="24"/>
              </w:rPr>
            </w:pP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D68E7">
            <w:pPr>
              <w:jc w:val="center"/>
              <w:rPr>
                <w:rFonts w:hint="default" w:ascii="Times New Roman" w:hAnsi="Times New Roman" w:eastAsia="仿宋_GB2312" w:cs="Times New Roman"/>
                <w:color w:val="000000"/>
                <w:sz w:val="24"/>
              </w:rPr>
            </w:pP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710BB">
            <w:pPr>
              <w:jc w:val="center"/>
              <w:rPr>
                <w:rFonts w:hint="default" w:ascii="Times New Roman" w:hAnsi="Times New Roman" w:eastAsia="仿宋_GB2312" w:cs="Times New Roman"/>
                <w:color w:val="000000"/>
                <w:sz w:val="24"/>
              </w:rPr>
            </w:pPr>
          </w:p>
        </w:tc>
      </w:tr>
      <w:tr w14:paraId="0823E744">
        <w:tblPrEx>
          <w:tblCellMar>
            <w:top w:w="15" w:type="dxa"/>
            <w:left w:w="15" w:type="dxa"/>
            <w:bottom w:w="15" w:type="dxa"/>
            <w:right w:w="15" w:type="dxa"/>
          </w:tblCellMar>
        </w:tblPrEx>
        <w:trPr>
          <w:trHeight w:val="645" w:hRule="atLeast"/>
          <w:jc w:val="center"/>
        </w:trPr>
        <w:tc>
          <w:tcPr>
            <w:tcW w:w="5000" w:type="pct"/>
            <w:gridSpan w:val="9"/>
            <w:shd w:val="clear" w:color="auto" w:fill="auto"/>
            <w:vAlign w:val="center"/>
          </w:tcPr>
          <w:p w14:paraId="4E412204">
            <w:pPr>
              <w:rPr>
                <w:rFonts w:hint="default" w:ascii="Times New Roman" w:hAnsi="Times New Roman" w:eastAsia="仿宋_GB2312" w:cs="Times New Roman"/>
                <w:b/>
              </w:r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政府性基金预算财政拨款收入、支出及结转和结余情况。</w:t>
            </w:r>
            <w:r>
              <w:rPr>
                <w:rFonts w:hint="default" w:ascii="Times New Roman" w:hAnsi="Times New Roman" w:eastAsia="仿宋_GB2312" w:cs="Times New Roman"/>
                <w:highlight w:val="none"/>
              </w:rPr>
              <w:t>（</w:t>
            </w:r>
            <w:r>
              <w:rPr>
                <w:rFonts w:hint="default" w:ascii="Times New Roman" w:hAnsi="Times New Roman" w:eastAsia="仿宋_GB2312" w:cs="Times New Roman"/>
                <w:b w:val="0"/>
                <w:bCs/>
                <w:sz w:val="24"/>
                <w:szCs w:val="24"/>
                <w:highlight w:val="none"/>
              </w:rPr>
              <w:t>本</w:t>
            </w:r>
            <w:r>
              <w:rPr>
                <w:rFonts w:hint="default" w:ascii="Times New Roman" w:hAnsi="Times New Roman" w:eastAsia="仿宋_GB2312" w:cs="Times New Roman"/>
                <w:b w:val="0"/>
                <w:bCs/>
                <w:sz w:val="24"/>
                <w:szCs w:val="24"/>
                <w:highlight w:val="none"/>
                <w:lang w:eastAsia="zh-CN"/>
              </w:rPr>
              <w:t>单位</w:t>
            </w:r>
            <w:r>
              <w:rPr>
                <w:rFonts w:hint="default" w:ascii="Times New Roman" w:hAnsi="Times New Roman" w:eastAsia="仿宋_GB2312" w:cs="Times New Roman"/>
                <w:b w:val="0"/>
                <w:bCs/>
                <w:sz w:val="24"/>
                <w:szCs w:val="24"/>
                <w:highlight w:val="none"/>
              </w:rPr>
              <w:t>本年度无</w:t>
            </w:r>
            <w:r>
              <w:rPr>
                <w:rFonts w:hint="default" w:ascii="Times New Roman" w:hAnsi="Times New Roman" w:eastAsia="仿宋_GB2312" w:cs="Times New Roman"/>
                <w:b w:val="0"/>
                <w:bCs/>
                <w:sz w:val="24"/>
                <w:szCs w:val="24"/>
                <w:highlight w:val="none"/>
                <w:lang w:eastAsia="zh-CN"/>
              </w:rPr>
              <w:t>支出</w:t>
            </w:r>
            <w:r>
              <w:rPr>
                <w:rFonts w:hint="default" w:ascii="Times New Roman" w:hAnsi="Times New Roman" w:eastAsia="仿宋_GB2312" w:cs="Times New Roman"/>
                <w:b w:val="0"/>
                <w:bCs/>
                <w:sz w:val="24"/>
                <w:szCs w:val="24"/>
                <w:highlight w:val="none"/>
              </w:rPr>
              <w:t>情况，按要求以空表列示。</w:t>
            </w:r>
            <w:r>
              <w:rPr>
                <w:rFonts w:hint="default" w:ascii="Times New Roman" w:hAnsi="Times New Roman" w:eastAsia="仿宋_GB2312" w:cs="Times New Roman"/>
                <w:highlight w:val="none"/>
              </w:rPr>
              <w:t>）</w:t>
            </w:r>
            <w:r>
              <w:rPr>
                <w:rFonts w:hint="default" w:ascii="Times New Roman" w:hAnsi="Times New Roman" w:eastAsia="仿宋_GB2312" w:cs="Times New Roman"/>
                <w:b/>
              </w:rPr>
              <w:br w:type="page"/>
            </w:r>
          </w:p>
          <w:p w14:paraId="7BA618A6">
            <w:pPr>
              <w:widowControl/>
              <w:jc w:val="left"/>
              <w:textAlignment w:val="center"/>
              <w:rPr>
                <w:rFonts w:hint="default" w:ascii="Times New Roman" w:hAnsi="Times New Roman" w:eastAsia="仿宋_GB2312" w:cs="Times New Roman"/>
                <w:color w:val="000000"/>
                <w:sz w:val="24"/>
              </w:rPr>
            </w:pPr>
          </w:p>
        </w:tc>
      </w:tr>
    </w:tbl>
    <w:p w14:paraId="1D0A9A05">
      <w:pPr>
        <w:rPr>
          <w:rFonts w:hint="default" w:ascii="Times New Roman" w:hAnsi="Times New Roman" w:eastAsia="仿宋_GB2312" w:cs="Times New Roman"/>
        </w:rPr>
        <w:sectPr>
          <w:pgSz w:w="16838" w:h="11906" w:orient="landscape"/>
          <w:pgMar w:top="1474" w:right="1474" w:bottom="1474" w:left="1474" w:header="851" w:footer="992" w:gutter="0"/>
          <w:cols w:space="425" w:num="1"/>
          <w:rtlGutter w:val="0"/>
          <w:docGrid w:type="lines" w:linePitch="319" w:charSpace="0"/>
        </w:sectPr>
      </w:pPr>
    </w:p>
    <w:tbl>
      <w:tblPr>
        <w:tblStyle w:val="9"/>
        <w:tblW w:w="5000" w:type="pct"/>
        <w:jc w:val="center"/>
        <w:tblLayout w:type="autofit"/>
        <w:tblCellMar>
          <w:top w:w="15" w:type="dxa"/>
          <w:left w:w="15" w:type="dxa"/>
          <w:bottom w:w="15" w:type="dxa"/>
          <w:right w:w="15" w:type="dxa"/>
        </w:tblCellMar>
      </w:tblPr>
      <w:tblGrid>
        <w:gridCol w:w="1347"/>
        <w:gridCol w:w="234"/>
        <w:gridCol w:w="1094"/>
        <w:gridCol w:w="1409"/>
        <w:gridCol w:w="3227"/>
        <w:gridCol w:w="1016"/>
        <w:gridCol w:w="1381"/>
        <w:gridCol w:w="1306"/>
        <w:gridCol w:w="2906"/>
      </w:tblGrid>
      <w:tr w14:paraId="27160C41">
        <w:tblPrEx>
          <w:tblCellMar>
            <w:top w:w="15" w:type="dxa"/>
            <w:left w:w="15" w:type="dxa"/>
            <w:bottom w:w="15" w:type="dxa"/>
            <w:right w:w="15" w:type="dxa"/>
          </w:tblCellMar>
        </w:tblPrEx>
        <w:trPr>
          <w:trHeight w:val="720" w:hRule="atLeast"/>
          <w:jc w:val="center"/>
        </w:trPr>
        <w:tc>
          <w:tcPr>
            <w:tcW w:w="5000" w:type="pct"/>
            <w:gridSpan w:val="9"/>
            <w:shd w:val="clear" w:color="auto" w:fill="FFFFFF"/>
            <w:vAlign w:val="center"/>
          </w:tcPr>
          <w:p w14:paraId="5DF2C9E5">
            <w:pPr>
              <w:widowControl/>
              <w:jc w:val="center"/>
              <w:textAlignment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kern w:val="0"/>
                <w:sz w:val="32"/>
                <w:szCs w:val="32"/>
                <w:lang w:bidi="ar"/>
              </w:rPr>
              <w:t>国有资本经营预算财政拨款支出决算表</w:t>
            </w:r>
          </w:p>
        </w:tc>
      </w:tr>
      <w:tr w14:paraId="380E1EA9">
        <w:tblPrEx>
          <w:tblCellMar>
            <w:top w:w="15" w:type="dxa"/>
            <w:left w:w="15" w:type="dxa"/>
            <w:bottom w:w="15" w:type="dxa"/>
            <w:right w:w="15" w:type="dxa"/>
          </w:tblCellMar>
        </w:tblPrEx>
        <w:trPr>
          <w:trHeight w:val="286" w:hRule="atLeast"/>
          <w:jc w:val="center"/>
        </w:trPr>
        <w:tc>
          <w:tcPr>
            <w:tcW w:w="484" w:type="pct"/>
            <w:shd w:val="clear" w:color="auto" w:fill="FFFFFF"/>
            <w:vAlign w:val="center"/>
          </w:tcPr>
          <w:p w14:paraId="6B6BF9FE">
            <w:pPr>
              <w:jc w:val="center"/>
              <w:rPr>
                <w:rFonts w:hint="default" w:ascii="Times New Roman" w:hAnsi="Times New Roman" w:eastAsia="仿宋_GB2312" w:cs="Times New Roman"/>
                <w:color w:val="000000"/>
                <w:sz w:val="20"/>
                <w:szCs w:val="20"/>
              </w:rPr>
            </w:pPr>
          </w:p>
        </w:tc>
        <w:tc>
          <w:tcPr>
            <w:tcW w:w="477" w:type="pct"/>
            <w:gridSpan w:val="2"/>
            <w:shd w:val="clear" w:color="auto" w:fill="FFFFFF"/>
            <w:vAlign w:val="center"/>
          </w:tcPr>
          <w:p w14:paraId="255C5971">
            <w:pPr>
              <w:jc w:val="center"/>
              <w:rPr>
                <w:rFonts w:hint="default" w:ascii="Times New Roman" w:hAnsi="Times New Roman" w:eastAsia="仿宋_GB2312" w:cs="Times New Roman"/>
                <w:color w:val="000000"/>
                <w:sz w:val="20"/>
                <w:szCs w:val="20"/>
              </w:rPr>
            </w:pPr>
          </w:p>
        </w:tc>
        <w:tc>
          <w:tcPr>
            <w:tcW w:w="506" w:type="pct"/>
            <w:shd w:val="clear" w:color="auto" w:fill="FFFFFF"/>
            <w:vAlign w:val="center"/>
          </w:tcPr>
          <w:p w14:paraId="13D48935">
            <w:pPr>
              <w:jc w:val="center"/>
              <w:rPr>
                <w:rFonts w:hint="default" w:ascii="Times New Roman" w:hAnsi="Times New Roman" w:eastAsia="仿宋_GB2312" w:cs="Times New Roman"/>
                <w:color w:val="000000"/>
                <w:sz w:val="20"/>
                <w:szCs w:val="20"/>
              </w:rPr>
            </w:pPr>
          </w:p>
        </w:tc>
        <w:tc>
          <w:tcPr>
            <w:tcW w:w="1524" w:type="pct"/>
            <w:gridSpan w:val="2"/>
            <w:shd w:val="clear" w:color="auto" w:fill="FFFFFF"/>
            <w:vAlign w:val="center"/>
          </w:tcPr>
          <w:p w14:paraId="49D13271">
            <w:pPr>
              <w:rPr>
                <w:rFonts w:hint="default" w:ascii="Times New Roman" w:hAnsi="Times New Roman" w:eastAsia="仿宋_GB2312" w:cs="Times New Roman"/>
                <w:color w:val="000000"/>
                <w:sz w:val="20"/>
                <w:szCs w:val="20"/>
              </w:rPr>
            </w:pPr>
          </w:p>
        </w:tc>
        <w:tc>
          <w:tcPr>
            <w:tcW w:w="496" w:type="pct"/>
            <w:shd w:val="clear" w:color="auto" w:fill="FFFFFF"/>
            <w:vAlign w:val="center"/>
          </w:tcPr>
          <w:p w14:paraId="4D8D0FA0">
            <w:pPr>
              <w:rPr>
                <w:rFonts w:hint="default" w:ascii="Times New Roman" w:hAnsi="Times New Roman" w:eastAsia="仿宋_GB2312" w:cs="Times New Roman"/>
                <w:color w:val="000000"/>
                <w:sz w:val="20"/>
                <w:szCs w:val="20"/>
              </w:rPr>
            </w:pPr>
          </w:p>
        </w:tc>
        <w:tc>
          <w:tcPr>
            <w:tcW w:w="1512" w:type="pct"/>
            <w:gridSpan w:val="2"/>
            <w:shd w:val="clear" w:color="auto" w:fill="FFFFFF"/>
            <w:vAlign w:val="center"/>
          </w:tcPr>
          <w:p w14:paraId="3CC3356A">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公开08表</w:t>
            </w:r>
          </w:p>
        </w:tc>
      </w:tr>
      <w:tr w14:paraId="1CF3B8A8">
        <w:tblPrEx>
          <w:tblCellMar>
            <w:top w:w="15" w:type="dxa"/>
            <w:left w:w="15" w:type="dxa"/>
            <w:bottom w:w="15" w:type="dxa"/>
            <w:right w:w="15" w:type="dxa"/>
          </w:tblCellMar>
        </w:tblPrEx>
        <w:trPr>
          <w:trHeight w:val="286" w:hRule="atLeast"/>
          <w:jc w:val="center"/>
        </w:trPr>
        <w:tc>
          <w:tcPr>
            <w:tcW w:w="1467" w:type="pct"/>
            <w:gridSpan w:val="4"/>
            <w:shd w:val="clear" w:color="auto" w:fill="FFFFFF"/>
            <w:vAlign w:val="center"/>
          </w:tcPr>
          <w:p w14:paraId="4350773C">
            <w:pPr>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1524" w:type="pct"/>
            <w:gridSpan w:val="2"/>
            <w:shd w:val="clear" w:color="auto" w:fill="FFFFFF"/>
            <w:vAlign w:val="center"/>
          </w:tcPr>
          <w:p w14:paraId="0F8F6629">
            <w:pPr>
              <w:ind w:firstLine="1800" w:firstLineChars="900"/>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2025年度</w:t>
            </w:r>
          </w:p>
        </w:tc>
        <w:tc>
          <w:tcPr>
            <w:tcW w:w="496" w:type="pct"/>
            <w:shd w:val="clear" w:color="auto" w:fill="FFFFFF"/>
            <w:vAlign w:val="center"/>
          </w:tcPr>
          <w:p w14:paraId="35B3A595">
            <w:pPr>
              <w:rPr>
                <w:rFonts w:hint="default" w:ascii="Times New Roman" w:hAnsi="Times New Roman" w:eastAsia="仿宋_GB2312" w:cs="Times New Roman"/>
                <w:color w:val="000000"/>
                <w:sz w:val="20"/>
                <w:szCs w:val="20"/>
              </w:rPr>
            </w:pPr>
          </w:p>
        </w:tc>
        <w:tc>
          <w:tcPr>
            <w:tcW w:w="1512" w:type="pct"/>
            <w:gridSpan w:val="2"/>
            <w:shd w:val="clear" w:color="auto" w:fill="FFFFFF"/>
            <w:vAlign w:val="center"/>
          </w:tcPr>
          <w:p w14:paraId="0D14A07F">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kern w:val="0"/>
                <w:sz w:val="20"/>
                <w:szCs w:val="20"/>
                <w:lang w:bidi="ar"/>
              </w:rPr>
              <w:t>单位：万元</w:t>
            </w:r>
          </w:p>
        </w:tc>
      </w:tr>
      <w:tr w14:paraId="5462C6E8">
        <w:tblPrEx>
          <w:tblCellMar>
            <w:top w:w="15" w:type="dxa"/>
            <w:left w:w="15" w:type="dxa"/>
            <w:bottom w:w="15" w:type="dxa"/>
            <w:right w:w="15" w:type="dxa"/>
          </w:tblCellMar>
        </w:tblPrEx>
        <w:trPr>
          <w:trHeight w:val="390" w:hRule="atLeast"/>
          <w:jc w:val="center"/>
        </w:trPr>
        <w:tc>
          <w:tcPr>
            <w:tcW w:w="14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94AF70">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项    目</w:t>
            </w:r>
          </w:p>
        </w:tc>
        <w:tc>
          <w:tcPr>
            <w:tcW w:w="35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652A8E">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本年支出</w:t>
            </w:r>
          </w:p>
        </w:tc>
      </w:tr>
      <w:tr w14:paraId="3E799359">
        <w:tblPrEx>
          <w:tblCellMar>
            <w:top w:w="15" w:type="dxa"/>
            <w:left w:w="15" w:type="dxa"/>
            <w:bottom w:w="15" w:type="dxa"/>
            <w:right w:w="15" w:type="dxa"/>
          </w:tblCellMar>
        </w:tblPrEx>
        <w:trPr>
          <w:trHeight w:val="390" w:hRule="atLeast"/>
          <w:jc w:val="center"/>
        </w:trPr>
        <w:tc>
          <w:tcPr>
            <w:tcW w:w="56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44B6D">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科目代码</w:t>
            </w:r>
          </w:p>
        </w:tc>
        <w:tc>
          <w:tcPr>
            <w:tcW w:w="8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20105">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科目名称</w:t>
            </w:r>
          </w:p>
        </w:tc>
        <w:tc>
          <w:tcPr>
            <w:tcW w:w="11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2ED50">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合计</w:t>
            </w:r>
          </w:p>
        </w:tc>
        <w:tc>
          <w:tcPr>
            <w:tcW w:w="133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2226B">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 xml:space="preserve">基本支出  </w:t>
            </w:r>
          </w:p>
        </w:tc>
        <w:tc>
          <w:tcPr>
            <w:tcW w:w="10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DA297D">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项目支出</w:t>
            </w:r>
          </w:p>
        </w:tc>
      </w:tr>
      <w:tr w14:paraId="7CE5ED7C">
        <w:tblPrEx>
          <w:tblCellMar>
            <w:top w:w="15" w:type="dxa"/>
            <w:left w:w="15" w:type="dxa"/>
            <w:bottom w:w="15" w:type="dxa"/>
            <w:right w:w="15" w:type="dxa"/>
          </w:tblCellMar>
        </w:tblPrEx>
        <w:trPr>
          <w:trHeight w:val="390" w:hRule="atLeast"/>
          <w:jc w:val="center"/>
        </w:trPr>
        <w:tc>
          <w:tcPr>
            <w:tcW w:w="5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028DC">
            <w:pPr>
              <w:jc w:val="center"/>
              <w:rPr>
                <w:rFonts w:hint="default" w:ascii="Times New Roman" w:hAnsi="Times New Roman" w:eastAsia="仿宋_GB2312" w:cs="Times New Roman"/>
                <w:color w:val="000000"/>
                <w:sz w:val="24"/>
              </w:rPr>
            </w:pPr>
          </w:p>
        </w:tc>
        <w:tc>
          <w:tcPr>
            <w:tcW w:w="8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815F6">
            <w:pPr>
              <w:jc w:val="center"/>
              <w:rPr>
                <w:rFonts w:hint="default" w:ascii="Times New Roman" w:hAnsi="Times New Roman" w:eastAsia="仿宋_GB2312" w:cs="Times New Roman"/>
                <w:color w:val="000000"/>
                <w:sz w:val="24"/>
              </w:rPr>
            </w:pPr>
          </w:p>
        </w:tc>
        <w:tc>
          <w:tcPr>
            <w:tcW w:w="11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CDE12">
            <w:pPr>
              <w:jc w:val="center"/>
              <w:rPr>
                <w:rFonts w:hint="default" w:ascii="Times New Roman" w:hAnsi="Times New Roman" w:eastAsia="仿宋_GB2312" w:cs="Times New Roman"/>
                <w:color w:val="000000"/>
                <w:sz w:val="24"/>
              </w:rPr>
            </w:pPr>
          </w:p>
        </w:tc>
        <w:tc>
          <w:tcPr>
            <w:tcW w:w="133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EC7EC">
            <w:pPr>
              <w:jc w:val="center"/>
              <w:rPr>
                <w:rFonts w:hint="default" w:ascii="Times New Roman" w:hAnsi="Times New Roman" w:eastAsia="仿宋_GB2312" w:cs="Times New Roman"/>
                <w:color w:val="000000"/>
                <w:sz w:val="24"/>
              </w:rPr>
            </w:pPr>
          </w:p>
        </w:tc>
        <w:tc>
          <w:tcPr>
            <w:tcW w:w="10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20426">
            <w:pPr>
              <w:jc w:val="center"/>
              <w:rPr>
                <w:rFonts w:hint="default" w:ascii="Times New Roman" w:hAnsi="Times New Roman" w:eastAsia="仿宋_GB2312" w:cs="Times New Roman"/>
                <w:color w:val="000000"/>
                <w:sz w:val="24"/>
              </w:rPr>
            </w:pPr>
          </w:p>
        </w:tc>
      </w:tr>
      <w:tr w14:paraId="0CF9190F">
        <w:tblPrEx>
          <w:tblCellMar>
            <w:top w:w="15" w:type="dxa"/>
            <w:left w:w="15" w:type="dxa"/>
            <w:bottom w:w="15" w:type="dxa"/>
            <w:right w:w="15" w:type="dxa"/>
          </w:tblCellMar>
        </w:tblPrEx>
        <w:trPr>
          <w:trHeight w:val="312" w:hRule="atLeast"/>
          <w:jc w:val="center"/>
        </w:trPr>
        <w:tc>
          <w:tcPr>
            <w:tcW w:w="5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CBC24">
            <w:pPr>
              <w:jc w:val="center"/>
              <w:rPr>
                <w:rFonts w:hint="default" w:ascii="Times New Roman" w:hAnsi="Times New Roman" w:eastAsia="仿宋_GB2312" w:cs="Times New Roman"/>
                <w:color w:val="000000"/>
                <w:sz w:val="24"/>
              </w:rPr>
            </w:pPr>
          </w:p>
        </w:tc>
        <w:tc>
          <w:tcPr>
            <w:tcW w:w="8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541FC">
            <w:pPr>
              <w:jc w:val="center"/>
              <w:rPr>
                <w:rFonts w:hint="default" w:ascii="Times New Roman" w:hAnsi="Times New Roman" w:eastAsia="仿宋_GB2312" w:cs="Times New Roman"/>
                <w:color w:val="000000"/>
                <w:sz w:val="24"/>
              </w:rPr>
            </w:pPr>
          </w:p>
        </w:tc>
        <w:tc>
          <w:tcPr>
            <w:tcW w:w="11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C9386">
            <w:pPr>
              <w:jc w:val="center"/>
              <w:rPr>
                <w:rFonts w:hint="default" w:ascii="Times New Roman" w:hAnsi="Times New Roman" w:eastAsia="仿宋_GB2312" w:cs="Times New Roman"/>
                <w:color w:val="000000"/>
                <w:sz w:val="24"/>
              </w:rPr>
            </w:pPr>
          </w:p>
        </w:tc>
        <w:tc>
          <w:tcPr>
            <w:tcW w:w="133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5B205">
            <w:pPr>
              <w:jc w:val="center"/>
              <w:rPr>
                <w:rFonts w:hint="default" w:ascii="Times New Roman" w:hAnsi="Times New Roman" w:eastAsia="仿宋_GB2312" w:cs="Times New Roman"/>
                <w:color w:val="000000"/>
                <w:sz w:val="24"/>
              </w:rPr>
            </w:pPr>
          </w:p>
        </w:tc>
        <w:tc>
          <w:tcPr>
            <w:tcW w:w="10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E7144">
            <w:pPr>
              <w:jc w:val="center"/>
              <w:rPr>
                <w:rFonts w:hint="default" w:ascii="Times New Roman" w:hAnsi="Times New Roman" w:eastAsia="仿宋_GB2312" w:cs="Times New Roman"/>
                <w:color w:val="000000"/>
                <w:sz w:val="24"/>
              </w:rPr>
            </w:pPr>
          </w:p>
        </w:tc>
      </w:tr>
      <w:tr w14:paraId="5BE15D15">
        <w:tblPrEx>
          <w:tblCellMar>
            <w:top w:w="15" w:type="dxa"/>
            <w:left w:w="15" w:type="dxa"/>
            <w:bottom w:w="15" w:type="dxa"/>
            <w:right w:w="15" w:type="dxa"/>
          </w:tblCellMar>
        </w:tblPrEx>
        <w:trPr>
          <w:trHeight w:val="390" w:hRule="atLeast"/>
          <w:jc w:val="center"/>
        </w:trPr>
        <w:tc>
          <w:tcPr>
            <w:tcW w:w="14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C0CC15">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栏次</w:t>
            </w: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93EE1">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1</w:t>
            </w:r>
          </w:p>
        </w:tc>
        <w:tc>
          <w:tcPr>
            <w:tcW w:w="1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BAEE8C">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2</w:t>
            </w:r>
          </w:p>
        </w:tc>
        <w:tc>
          <w:tcPr>
            <w:tcW w:w="10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5B98A">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3</w:t>
            </w:r>
          </w:p>
        </w:tc>
      </w:tr>
      <w:tr w14:paraId="3DBE2033">
        <w:tblPrEx>
          <w:tblCellMar>
            <w:top w:w="15" w:type="dxa"/>
            <w:left w:w="15" w:type="dxa"/>
            <w:bottom w:w="15" w:type="dxa"/>
            <w:right w:w="15" w:type="dxa"/>
          </w:tblCellMar>
        </w:tblPrEx>
        <w:trPr>
          <w:trHeight w:val="390" w:hRule="atLeast"/>
          <w:jc w:val="center"/>
        </w:trPr>
        <w:tc>
          <w:tcPr>
            <w:tcW w:w="14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34A6AF">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合计</w:t>
            </w: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98B0E">
            <w:pPr>
              <w:jc w:val="center"/>
              <w:rPr>
                <w:rFonts w:hint="default" w:ascii="Times New Roman" w:hAnsi="Times New Roman" w:eastAsia="仿宋_GB2312" w:cs="Times New Roman"/>
                <w:color w:val="000000"/>
                <w:sz w:val="22"/>
              </w:rPr>
            </w:pPr>
          </w:p>
        </w:tc>
        <w:tc>
          <w:tcPr>
            <w:tcW w:w="13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A7CD15">
            <w:pPr>
              <w:jc w:val="center"/>
              <w:rPr>
                <w:rFonts w:hint="default" w:ascii="Times New Roman" w:hAnsi="Times New Roman" w:eastAsia="仿宋_GB2312" w:cs="Times New Roman"/>
                <w:color w:val="000000"/>
                <w:sz w:val="22"/>
              </w:rPr>
            </w:pPr>
          </w:p>
        </w:tc>
        <w:tc>
          <w:tcPr>
            <w:tcW w:w="10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D147B">
            <w:pPr>
              <w:jc w:val="center"/>
              <w:rPr>
                <w:rFonts w:hint="default" w:ascii="Times New Roman" w:hAnsi="Times New Roman" w:eastAsia="仿宋_GB2312" w:cs="Times New Roman"/>
                <w:color w:val="000000"/>
                <w:sz w:val="22"/>
              </w:rPr>
            </w:pPr>
          </w:p>
        </w:tc>
      </w:tr>
      <w:tr w14:paraId="502A9EDC">
        <w:tblPrEx>
          <w:tblCellMar>
            <w:top w:w="15" w:type="dxa"/>
            <w:left w:w="15" w:type="dxa"/>
            <w:bottom w:w="15" w:type="dxa"/>
            <w:right w:w="15" w:type="dxa"/>
          </w:tblCellMar>
        </w:tblPrEx>
        <w:trPr>
          <w:trHeight w:val="720" w:hRule="atLeast"/>
          <w:jc w:val="center"/>
        </w:trPr>
        <w:tc>
          <w:tcPr>
            <w:tcW w:w="5000" w:type="pct"/>
            <w:gridSpan w:val="9"/>
            <w:shd w:val="clear" w:color="auto" w:fill="auto"/>
            <w:vAlign w:val="center"/>
          </w:tcPr>
          <w:p w14:paraId="5D2AEC7D">
            <w:pPr>
              <w:rPr>
                <w:rFonts w:hint="default" w:ascii="Times New Roman" w:hAnsi="Times New Roman" w:eastAsia="仿宋_GB2312" w:cs="Times New Roman"/>
                <w:b/>
              </w:r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国有资本经营预算财政拨款支出情况。</w:t>
            </w:r>
            <w:r>
              <w:rPr>
                <w:rFonts w:hint="default" w:ascii="Times New Roman" w:hAnsi="Times New Roman" w:eastAsia="仿宋_GB2312" w:cs="Times New Roman"/>
                <w:highlight w:val="none"/>
              </w:rPr>
              <w:t>（</w:t>
            </w:r>
            <w:r>
              <w:rPr>
                <w:rFonts w:hint="default" w:ascii="Times New Roman" w:hAnsi="Times New Roman" w:eastAsia="仿宋_GB2312" w:cs="Times New Roman"/>
                <w:b w:val="0"/>
                <w:bCs/>
                <w:sz w:val="24"/>
                <w:szCs w:val="24"/>
                <w:highlight w:val="none"/>
              </w:rPr>
              <w:t>本</w:t>
            </w:r>
            <w:r>
              <w:rPr>
                <w:rFonts w:hint="default" w:ascii="Times New Roman" w:hAnsi="Times New Roman" w:eastAsia="仿宋_GB2312" w:cs="Times New Roman"/>
                <w:b w:val="0"/>
                <w:bCs/>
                <w:sz w:val="24"/>
                <w:szCs w:val="24"/>
                <w:highlight w:val="none"/>
                <w:lang w:eastAsia="zh-CN"/>
              </w:rPr>
              <w:t>单位</w:t>
            </w:r>
            <w:r>
              <w:rPr>
                <w:rFonts w:hint="default" w:ascii="Times New Roman" w:hAnsi="Times New Roman" w:eastAsia="仿宋_GB2312" w:cs="Times New Roman"/>
                <w:b w:val="0"/>
                <w:bCs/>
                <w:sz w:val="24"/>
                <w:szCs w:val="24"/>
                <w:highlight w:val="none"/>
              </w:rPr>
              <w:t>本年度无</w:t>
            </w:r>
            <w:r>
              <w:rPr>
                <w:rFonts w:hint="default" w:ascii="Times New Roman" w:hAnsi="Times New Roman" w:eastAsia="仿宋_GB2312" w:cs="Times New Roman"/>
                <w:b w:val="0"/>
                <w:bCs/>
                <w:sz w:val="24"/>
                <w:szCs w:val="24"/>
                <w:highlight w:val="none"/>
                <w:lang w:eastAsia="zh-CN"/>
              </w:rPr>
              <w:t>支出</w:t>
            </w:r>
            <w:r>
              <w:rPr>
                <w:rFonts w:hint="default" w:ascii="Times New Roman" w:hAnsi="Times New Roman" w:eastAsia="仿宋_GB2312" w:cs="Times New Roman"/>
                <w:b w:val="0"/>
                <w:bCs/>
                <w:sz w:val="24"/>
                <w:szCs w:val="24"/>
                <w:highlight w:val="none"/>
              </w:rPr>
              <w:t>情况，按要求以空表列示。</w:t>
            </w:r>
            <w:r>
              <w:rPr>
                <w:rFonts w:hint="default" w:ascii="Times New Roman" w:hAnsi="Times New Roman" w:eastAsia="仿宋_GB2312" w:cs="Times New Roman"/>
                <w:highlight w:val="none"/>
              </w:rPr>
              <w:t>）</w:t>
            </w:r>
            <w:r>
              <w:rPr>
                <w:rFonts w:hint="default" w:ascii="Times New Roman" w:hAnsi="Times New Roman" w:eastAsia="仿宋_GB2312" w:cs="Times New Roman"/>
                <w:b/>
              </w:rPr>
              <w:br w:type="page"/>
            </w:r>
          </w:p>
          <w:p w14:paraId="5BBC84E5">
            <w:pPr>
              <w:widowControl/>
              <w:jc w:val="left"/>
              <w:textAlignment w:val="center"/>
              <w:rPr>
                <w:rFonts w:hint="default" w:ascii="Times New Roman" w:hAnsi="Times New Roman" w:eastAsia="仿宋_GB2312" w:cs="Times New Roman"/>
                <w:color w:val="000000"/>
                <w:sz w:val="24"/>
              </w:rPr>
            </w:pPr>
          </w:p>
        </w:tc>
      </w:tr>
    </w:tbl>
    <w:p w14:paraId="2AB99A50">
      <w:pPr>
        <w:rPr>
          <w:rFonts w:hint="default" w:ascii="Times New Roman" w:hAnsi="Times New Roman" w:eastAsia="仿宋_GB2312" w:cs="Times New Roman"/>
        </w:rPr>
        <w:sectPr>
          <w:pgSz w:w="16838" w:h="11906" w:orient="landscape"/>
          <w:pgMar w:top="1474" w:right="1474" w:bottom="1474" w:left="1474" w:header="851" w:footer="992" w:gutter="0"/>
          <w:cols w:space="425" w:num="1"/>
          <w:rtlGutter w:val="0"/>
          <w:docGrid w:type="lines" w:linePitch="319" w:charSpace="0"/>
        </w:sectPr>
      </w:pPr>
    </w:p>
    <w:tbl>
      <w:tblPr>
        <w:tblStyle w:val="9"/>
        <w:tblW w:w="5020" w:type="pct"/>
        <w:tblInd w:w="0" w:type="dxa"/>
        <w:tblLayout w:type="autofit"/>
        <w:tblCellMar>
          <w:top w:w="15" w:type="dxa"/>
          <w:left w:w="15" w:type="dxa"/>
          <w:bottom w:w="15" w:type="dxa"/>
          <w:right w:w="15" w:type="dxa"/>
        </w:tblCellMar>
      </w:tblPr>
      <w:tblGrid>
        <w:gridCol w:w="1019"/>
        <w:gridCol w:w="332"/>
        <w:gridCol w:w="607"/>
        <w:gridCol w:w="640"/>
        <w:gridCol w:w="361"/>
        <w:gridCol w:w="928"/>
        <w:gridCol w:w="266"/>
        <w:gridCol w:w="1034"/>
        <w:gridCol w:w="439"/>
        <w:gridCol w:w="800"/>
        <w:gridCol w:w="495"/>
        <w:gridCol w:w="976"/>
        <w:gridCol w:w="1029"/>
        <w:gridCol w:w="380"/>
        <w:gridCol w:w="34"/>
        <w:gridCol w:w="562"/>
        <w:gridCol w:w="713"/>
        <w:gridCol w:w="520"/>
        <w:gridCol w:w="791"/>
        <w:gridCol w:w="727"/>
        <w:gridCol w:w="1317"/>
        <w:gridCol w:w="6"/>
      </w:tblGrid>
      <w:tr w14:paraId="7F7D990C">
        <w:tblPrEx>
          <w:tblCellMar>
            <w:top w:w="15" w:type="dxa"/>
            <w:left w:w="15" w:type="dxa"/>
            <w:bottom w:w="15" w:type="dxa"/>
            <w:right w:w="15" w:type="dxa"/>
          </w:tblCellMar>
        </w:tblPrEx>
        <w:trPr>
          <w:gridAfter w:val="1"/>
          <w:wAfter w:w="2" w:type="pct"/>
          <w:trHeight w:val="600" w:hRule="atLeast"/>
        </w:trPr>
        <w:tc>
          <w:tcPr>
            <w:tcW w:w="4997" w:type="pct"/>
            <w:gridSpan w:val="21"/>
            <w:shd w:val="clear" w:color="auto" w:fill="FFFFFF"/>
            <w:vAlign w:val="center"/>
          </w:tcPr>
          <w:p w14:paraId="668BC019">
            <w:pPr>
              <w:widowControl/>
              <w:jc w:val="center"/>
              <w:textAlignment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kern w:val="0"/>
                <w:sz w:val="32"/>
                <w:szCs w:val="32"/>
                <w:lang w:bidi="ar"/>
              </w:rPr>
              <w:t>财政拨款“三公”经费支出决算表</w:t>
            </w:r>
          </w:p>
        </w:tc>
      </w:tr>
      <w:tr w14:paraId="439E5561">
        <w:tblPrEx>
          <w:tblCellMar>
            <w:top w:w="15" w:type="dxa"/>
            <w:left w:w="15" w:type="dxa"/>
            <w:bottom w:w="15" w:type="dxa"/>
            <w:right w:w="15" w:type="dxa"/>
          </w:tblCellMar>
        </w:tblPrEx>
        <w:trPr>
          <w:gridAfter w:val="1"/>
          <w:wAfter w:w="2" w:type="pct"/>
          <w:trHeight w:val="315" w:hRule="atLeast"/>
        </w:trPr>
        <w:tc>
          <w:tcPr>
            <w:tcW w:w="484" w:type="pct"/>
            <w:gridSpan w:val="2"/>
            <w:shd w:val="clear" w:color="auto" w:fill="auto"/>
            <w:vAlign w:val="center"/>
          </w:tcPr>
          <w:p w14:paraId="4A6C01D8">
            <w:pPr>
              <w:jc w:val="center"/>
              <w:rPr>
                <w:rFonts w:hint="default" w:ascii="Times New Roman" w:hAnsi="Times New Roman" w:eastAsia="仿宋_GB2312" w:cs="Times New Roman"/>
                <w:color w:val="000000"/>
                <w:sz w:val="24"/>
              </w:rPr>
            </w:pPr>
          </w:p>
        </w:tc>
        <w:tc>
          <w:tcPr>
            <w:tcW w:w="446" w:type="pct"/>
            <w:gridSpan w:val="2"/>
            <w:shd w:val="clear" w:color="auto" w:fill="auto"/>
            <w:vAlign w:val="center"/>
          </w:tcPr>
          <w:p w14:paraId="5066C096">
            <w:pPr>
              <w:jc w:val="center"/>
              <w:rPr>
                <w:rFonts w:hint="default" w:ascii="Times New Roman" w:hAnsi="Times New Roman" w:eastAsia="仿宋_GB2312" w:cs="Times New Roman"/>
                <w:color w:val="000000"/>
                <w:sz w:val="24"/>
              </w:rPr>
            </w:pPr>
          </w:p>
        </w:tc>
        <w:tc>
          <w:tcPr>
            <w:tcW w:w="461" w:type="pct"/>
            <w:gridSpan w:val="2"/>
            <w:shd w:val="clear" w:color="auto" w:fill="auto"/>
            <w:vAlign w:val="center"/>
          </w:tcPr>
          <w:p w14:paraId="005AD568">
            <w:pPr>
              <w:jc w:val="center"/>
              <w:rPr>
                <w:rFonts w:hint="default" w:ascii="Times New Roman" w:hAnsi="Times New Roman" w:eastAsia="仿宋_GB2312" w:cs="Times New Roman"/>
                <w:color w:val="000000"/>
                <w:sz w:val="24"/>
              </w:rPr>
            </w:pPr>
          </w:p>
        </w:tc>
        <w:tc>
          <w:tcPr>
            <w:tcW w:w="464" w:type="pct"/>
            <w:gridSpan w:val="2"/>
            <w:shd w:val="clear" w:color="auto" w:fill="auto"/>
            <w:vAlign w:val="center"/>
          </w:tcPr>
          <w:p w14:paraId="7E77C6EB">
            <w:pPr>
              <w:rPr>
                <w:rFonts w:hint="default" w:ascii="Times New Roman" w:hAnsi="Times New Roman" w:eastAsia="仿宋_GB2312" w:cs="Times New Roman"/>
                <w:color w:val="000000"/>
                <w:sz w:val="24"/>
              </w:rPr>
            </w:pPr>
          </w:p>
        </w:tc>
        <w:tc>
          <w:tcPr>
            <w:tcW w:w="443" w:type="pct"/>
            <w:gridSpan w:val="2"/>
            <w:shd w:val="clear" w:color="auto" w:fill="auto"/>
            <w:vAlign w:val="center"/>
          </w:tcPr>
          <w:p w14:paraId="176A5073">
            <w:pPr>
              <w:rPr>
                <w:rFonts w:hint="default" w:ascii="Times New Roman" w:hAnsi="Times New Roman" w:eastAsia="仿宋_GB2312" w:cs="Times New Roman"/>
                <w:color w:val="000000"/>
                <w:sz w:val="24"/>
              </w:rPr>
            </w:pPr>
          </w:p>
        </w:tc>
        <w:tc>
          <w:tcPr>
            <w:tcW w:w="176" w:type="pct"/>
            <w:shd w:val="clear" w:color="auto" w:fill="auto"/>
            <w:vAlign w:val="center"/>
          </w:tcPr>
          <w:p w14:paraId="459BF576">
            <w:pPr>
              <w:widowControl/>
              <w:jc w:val="right"/>
              <w:textAlignment w:val="center"/>
              <w:rPr>
                <w:rFonts w:hint="default" w:ascii="Times New Roman" w:hAnsi="Times New Roman" w:eastAsia="仿宋_GB2312" w:cs="Times New Roman"/>
                <w:color w:val="000000"/>
                <w:sz w:val="24"/>
              </w:rPr>
            </w:pPr>
          </w:p>
        </w:tc>
        <w:tc>
          <w:tcPr>
            <w:tcW w:w="865" w:type="pct"/>
            <w:gridSpan w:val="4"/>
            <w:shd w:val="clear" w:color="auto" w:fill="auto"/>
            <w:vAlign w:val="bottom"/>
          </w:tcPr>
          <w:p w14:paraId="2B8527F1">
            <w:pPr>
              <w:jc w:val="right"/>
              <w:rPr>
                <w:rFonts w:hint="default" w:ascii="Times New Roman" w:hAnsi="Times New Roman" w:eastAsia="仿宋_GB2312" w:cs="Times New Roman"/>
                <w:color w:val="000000"/>
                <w:sz w:val="24"/>
              </w:rPr>
            </w:pPr>
          </w:p>
        </w:tc>
        <w:tc>
          <w:tcPr>
            <w:tcW w:w="456" w:type="pct"/>
            <w:gridSpan w:val="2"/>
            <w:shd w:val="clear" w:color="auto" w:fill="auto"/>
            <w:vAlign w:val="bottom"/>
          </w:tcPr>
          <w:p w14:paraId="4A6983F8">
            <w:pPr>
              <w:wordWrap w:val="0"/>
              <w:jc w:val="righ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szCs w:val="24"/>
              </w:rPr>
              <w:t xml:space="preserve">    </w:t>
            </w:r>
          </w:p>
        </w:tc>
        <w:tc>
          <w:tcPr>
            <w:tcW w:w="469" w:type="pct"/>
            <w:gridSpan w:val="2"/>
            <w:shd w:val="clear" w:color="auto" w:fill="auto"/>
            <w:vAlign w:val="bottom"/>
          </w:tcPr>
          <w:p w14:paraId="36379597">
            <w:pPr>
              <w:jc w:val="right"/>
              <w:rPr>
                <w:rFonts w:hint="default" w:ascii="Times New Roman" w:hAnsi="Times New Roman" w:eastAsia="仿宋_GB2312" w:cs="Times New Roman"/>
                <w:color w:val="000000"/>
                <w:sz w:val="24"/>
              </w:rPr>
            </w:pPr>
          </w:p>
        </w:tc>
        <w:tc>
          <w:tcPr>
            <w:tcW w:w="731" w:type="pct"/>
            <w:gridSpan w:val="2"/>
            <w:shd w:val="clear" w:color="auto" w:fill="auto"/>
            <w:vAlign w:val="bottom"/>
          </w:tcPr>
          <w:p w14:paraId="1A16974B">
            <w:pPr>
              <w:widowControl/>
              <w:jc w:val="right"/>
              <w:textAlignment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Cs w:val="21"/>
              </w:rPr>
              <w:t>公开</w:t>
            </w:r>
            <w:r>
              <w:rPr>
                <w:rFonts w:hint="default" w:ascii="Times New Roman" w:hAnsi="Times New Roman" w:eastAsia="仿宋_GB2312" w:cs="Times New Roman"/>
                <w:color w:val="000000"/>
                <w:sz w:val="20"/>
                <w:szCs w:val="20"/>
              </w:rPr>
              <w:t>09</w:t>
            </w:r>
            <w:r>
              <w:rPr>
                <w:rFonts w:hint="default" w:ascii="Times New Roman" w:hAnsi="Times New Roman" w:eastAsia="仿宋_GB2312" w:cs="Times New Roman"/>
                <w:color w:val="000000"/>
                <w:szCs w:val="21"/>
              </w:rPr>
              <w:t>表</w:t>
            </w:r>
          </w:p>
        </w:tc>
      </w:tr>
      <w:tr w14:paraId="5C29F6C5">
        <w:tblPrEx>
          <w:tblCellMar>
            <w:top w:w="15" w:type="dxa"/>
            <w:left w:w="15" w:type="dxa"/>
            <w:bottom w:w="15" w:type="dxa"/>
            <w:right w:w="15" w:type="dxa"/>
          </w:tblCellMar>
        </w:tblPrEx>
        <w:trPr>
          <w:trHeight w:val="301" w:hRule="atLeast"/>
        </w:trPr>
        <w:tc>
          <w:tcPr>
            <w:tcW w:w="1856" w:type="pct"/>
            <w:gridSpan w:val="8"/>
            <w:shd w:val="clear" w:color="auto" w:fill="FFFFFF"/>
            <w:vAlign w:val="center"/>
          </w:tcPr>
          <w:p w14:paraId="0DD29FB8">
            <w:pPr>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kern w:val="0"/>
                <w:sz w:val="20"/>
                <w:szCs w:val="20"/>
                <w:lang w:eastAsia="zh-CN" w:bidi="ar"/>
              </w:rPr>
              <w:t>单位</w:t>
            </w:r>
            <w:r>
              <w:rPr>
                <w:rFonts w:hint="default" w:ascii="Times New Roman" w:hAnsi="Times New Roman" w:eastAsia="仿宋_GB2312" w:cs="Times New Roman"/>
                <w:color w:val="000000"/>
                <w:kern w:val="0"/>
                <w:sz w:val="20"/>
                <w:szCs w:val="20"/>
                <w:lang w:bidi="ar"/>
              </w:rPr>
              <w:t>：</w:t>
            </w:r>
            <w:r>
              <w:rPr>
                <w:rFonts w:hint="eastAsia" w:ascii="Times New Roman" w:hAnsi="Times New Roman" w:eastAsia="仿宋_GB2312" w:cs="Times New Roman"/>
                <w:color w:val="000000"/>
                <w:kern w:val="0"/>
                <w:sz w:val="20"/>
                <w:szCs w:val="20"/>
                <w:lang w:val="en-US" w:eastAsia="zh-CN" w:bidi="ar"/>
              </w:rPr>
              <w:t>河北中医药大学第四附属医院</w:t>
            </w:r>
          </w:p>
        </w:tc>
        <w:tc>
          <w:tcPr>
            <w:tcW w:w="1472" w:type="pct"/>
            <w:gridSpan w:val="6"/>
            <w:shd w:val="clear" w:color="auto" w:fill="FFFFFF"/>
            <w:vAlign w:val="center"/>
          </w:tcPr>
          <w:p w14:paraId="7544FDFD">
            <w:pPr>
              <w:widowControl/>
              <w:jc w:val="center"/>
              <w:textAlignment w:val="center"/>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2025年度</w:t>
            </w:r>
          </w:p>
        </w:tc>
        <w:tc>
          <w:tcPr>
            <w:tcW w:w="1197" w:type="pct"/>
            <w:gridSpan w:val="6"/>
            <w:shd w:val="clear" w:color="auto" w:fill="FFFFFF"/>
            <w:vAlign w:val="center"/>
          </w:tcPr>
          <w:p w14:paraId="34EE7D4C">
            <w:pPr>
              <w:widowControl/>
              <w:jc w:val="right"/>
              <w:textAlignment w:val="center"/>
              <w:rPr>
                <w:rFonts w:hint="default" w:ascii="Times New Roman" w:hAnsi="Times New Roman" w:eastAsia="仿宋_GB2312" w:cs="Times New Roman"/>
                <w:color w:val="000000"/>
                <w:kern w:val="0"/>
                <w:sz w:val="20"/>
                <w:szCs w:val="20"/>
                <w:lang w:bidi="ar"/>
              </w:rPr>
            </w:pPr>
          </w:p>
        </w:tc>
        <w:tc>
          <w:tcPr>
            <w:tcW w:w="473" w:type="pct"/>
            <w:gridSpan w:val="2"/>
            <w:shd w:val="clear" w:color="auto" w:fill="FFFFFF"/>
            <w:vAlign w:val="center"/>
          </w:tcPr>
          <w:p w14:paraId="6E37E1A0">
            <w:pPr>
              <w:widowControl/>
              <w:jc w:val="right"/>
              <w:textAlignment w:val="cente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单位：万元</w:t>
            </w:r>
          </w:p>
        </w:tc>
      </w:tr>
      <w:tr w14:paraId="394C60B1">
        <w:tblPrEx>
          <w:tblCellMar>
            <w:top w:w="15" w:type="dxa"/>
            <w:left w:w="15" w:type="dxa"/>
            <w:bottom w:w="15" w:type="dxa"/>
            <w:right w:w="15" w:type="dxa"/>
          </w:tblCellMar>
        </w:tblPrEx>
        <w:trPr>
          <w:gridAfter w:val="1"/>
          <w:wAfter w:w="2" w:type="pct"/>
          <w:trHeight w:val="555" w:hRule="atLeast"/>
        </w:trPr>
        <w:tc>
          <w:tcPr>
            <w:tcW w:w="2476"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A4B7451">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预算数</w:t>
            </w:r>
          </w:p>
        </w:tc>
        <w:tc>
          <w:tcPr>
            <w:tcW w:w="25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8E612F2">
            <w:pPr>
              <w:widowControl/>
              <w:jc w:val="center"/>
              <w:textAlignment w:val="center"/>
              <w:rPr>
                <w:rFonts w:hint="default" w:ascii="Times New Roman" w:hAnsi="Times New Roman" w:eastAsia="仿宋_GB2312" w:cs="Times New Roman"/>
                <w:b/>
                <w:color w:val="000000"/>
                <w:sz w:val="22"/>
              </w:rPr>
            </w:pPr>
            <w:r>
              <w:rPr>
                <w:rFonts w:hint="default" w:ascii="Times New Roman" w:hAnsi="Times New Roman" w:eastAsia="仿宋_GB2312" w:cs="Times New Roman"/>
                <w:b/>
                <w:color w:val="000000"/>
                <w:kern w:val="0"/>
                <w:sz w:val="22"/>
                <w:lang w:bidi="ar"/>
              </w:rPr>
              <w:t>决算数</w:t>
            </w:r>
          </w:p>
        </w:tc>
      </w:tr>
      <w:tr w14:paraId="358BABBA">
        <w:tblPrEx>
          <w:tblCellMar>
            <w:top w:w="15" w:type="dxa"/>
            <w:left w:w="15" w:type="dxa"/>
            <w:bottom w:w="15" w:type="dxa"/>
            <w:right w:w="15" w:type="dxa"/>
          </w:tblCellMar>
        </w:tblPrEx>
        <w:trPr>
          <w:gridAfter w:val="1"/>
          <w:wAfter w:w="2" w:type="pct"/>
          <w:trHeight w:val="600" w:hRule="atLeast"/>
        </w:trPr>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D8F304">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合计</w:t>
            </w:r>
          </w:p>
        </w:tc>
        <w:tc>
          <w:tcPr>
            <w:tcW w:w="33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65D2C">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因公出国（境）费</w:t>
            </w:r>
          </w:p>
        </w:tc>
        <w:tc>
          <w:tcPr>
            <w:tcW w:w="131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21E808">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公务用车购置及运行维护费</w:t>
            </w:r>
          </w:p>
        </w:tc>
        <w:tc>
          <w:tcPr>
            <w:tcW w:w="46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B26A3">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公务接待费</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134CF">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合计</w:t>
            </w:r>
          </w:p>
        </w:tc>
        <w:tc>
          <w:tcPr>
            <w:tcW w:w="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292AD">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因公出国（境）费</w:t>
            </w:r>
          </w:p>
        </w:tc>
        <w:tc>
          <w:tcPr>
            <w:tcW w:w="133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3B79347">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公务用车购置及运行维护费</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4B3D7">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公务接待费</w:t>
            </w:r>
          </w:p>
        </w:tc>
      </w:tr>
      <w:tr w14:paraId="08A41565">
        <w:tblPrEx>
          <w:tblCellMar>
            <w:top w:w="15" w:type="dxa"/>
            <w:left w:w="15" w:type="dxa"/>
            <w:bottom w:w="15" w:type="dxa"/>
            <w:right w:w="15" w:type="dxa"/>
          </w:tblCellMar>
        </w:tblPrEx>
        <w:trPr>
          <w:gridAfter w:val="1"/>
          <w:wAfter w:w="2" w:type="pct"/>
          <w:trHeight w:val="600" w:hRule="atLeast"/>
        </w:trPr>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D4AB2">
            <w:pPr>
              <w:jc w:val="center"/>
              <w:rPr>
                <w:rFonts w:hint="default" w:ascii="Times New Roman" w:hAnsi="Times New Roman" w:eastAsia="仿宋_GB2312" w:cs="Times New Roman"/>
                <w:b/>
                <w:bCs/>
                <w:color w:val="000000"/>
                <w:sz w:val="22"/>
              </w:rPr>
            </w:pPr>
          </w:p>
        </w:tc>
        <w:tc>
          <w:tcPr>
            <w:tcW w:w="33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2BF10">
            <w:pPr>
              <w:jc w:val="center"/>
              <w:rPr>
                <w:rFonts w:hint="default" w:ascii="Times New Roman" w:hAnsi="Times New Roman" w:eastAsia="仿宋_GB2312" w:cs="Times New Roman"/>
                <w:b/>
                <w:bCs/>
                <w:color w:val="000000"/>
                <w:sz w:val="22"/>
              </w:rPr>
            </w:pP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5AB1E">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小计</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B60E0">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公务用车购置费</w:t>
            </w:r>
          </w:p>
        </w:tc>
        <w:tc>
          <w:tcPr>
            <w:tcW w:w="5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C242F">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公务用车运行维护费</w:t>
            </w:r>
          </w:p>
        </w:tc>
        <w:tc>
          <w:tcPr>
            <w:tcW w:w="4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AB0D6">
            <w:pPr>
              <w:jc w:val="center"/>
              <w:rPr>
                <w:rFonts w:hint="default" w:ascii="Times New Roman" w:hAnsi="Times New Roman" w:eastAsia="仿宋_GB2312" w:cs="Times New Roman"/>
                <w:b/>
                <w:bCs/>
                <w:color w:val="000000"/>
                <w:sz w:val="22"/>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21E38">
            <w:pPr>
              <w:jc w:val="center"/>
              <w:rPr>
                <w:rFonts w:hint="default" w:ascii="Times New Roman" w:hAnsi="Times New Roman" w:eastAsia="仿宋_GB2312" w:cs="Times New Roman"/>
                <w:b/>
                <w:bCs/>
                <w:color w:val="000000"/>
                <w:sz w:val="22"/>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E4F40">
            <w:pPr>
              <w:jc w:val="center"/>
              <w:rPr>
                <w:rFonts w:hint="default" w:ascii="Times New Roman" w:hAnsi="Times New Roman" w:eastAsia="仿宋_GB2312" w:cs="Times New Roman"/>
                <w:b/>
                <w:bCs/>
                <w:color w:val="000000"/>
                <w:sz w:val="22"/>
              </w:rPr>
            </w:pPr>
          </w:p>
        </w:tc>
        <w:tc>
          <w:tcPr>
            <w:tcW w:w="3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A565AA">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小计</w:t>
            </w:r>
          </w:p>
        </w:tc>
        <w:tc>
          <w:tcPr>
            <w:tcW w:w="4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14E43C">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公务用车购置费</w:t>
            </w:r>
          </w:p>
        </w:tc>
        <w:tc>
          <w:tcPr>
            <w:tcW w:w="5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17F445">
            <w:pPr>
              <w:widowControl/>
              <w:jc w:val="center"/>
              <w:textAlignment w:val="center"/>
              <w:rPr>
                <w:rFonts w:hint="default" w:ascii="Times New Roman" w:hAnsi="Times New Roman" w:eastAsia="仿宋_GB2312" w:cs="Times New Roman"/>
                <w:b/>
                <w:bCs/>
                <w:color w:val="000000"/>
                <w:sz w:val="22"/>
              </w:rPr>
            </w:pPr>
            <w:r>
              <w:rPr>
                <w:rFonts w:hint="default" w:ascii="Times New Roman" w:hAnsi="Times New Roman" w:eastAsia="仿宋_GB2312" w:cs="Times New Roman"/>
                <w:b/>
                <w:bCs/>
                <w:color w:val="000000"/>
                <w:kern w:val="0"/>
                <w:sz w:val="22"/>
                <w:lang w:bidi="ar"/>
              </w:rPr>
              <w:t>公务用车运行维护费</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1B582">
            <w:pPr>
              <w:jc w:val="center"/>
              <w:rPr>
                <w:rFonts w:hint="default" w:ascii="Times New Roman" w:hAnsi="Times New Roman" w:eastAsia="仿宋_GB2312" w:cs="Times New Roman"/>
                <w:b/>
                <w:bCs/>
                <w:color w:val="000000"/>
                <w:sz w:val="22"/>
              </w:rPr>
            </w:pPr>
          </w:p>
        </w:tc>
      </w:tr>
      <w:tr w14:paraId="0E06A8B3">
        <w:tblPrEx>
          <w:tblCellMar>
            <w:top w:w="15" w:type="dxa"/>
            <w:left w:w="15" w:type="dxa"/>
            <w:bottom w:w="15" w:type="dxa"/>
            <w:right w:w="15" w:type="dxa"/>
          </w:tblCellMar>
        </w:tblPrEx>
        <w:trPr>
          <w:gridAfter w:val="1"/>
          <w:wAfter w:w="2" w:type="pct"/>
          <w:trHeight w:val="555"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F8DA2">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1</w:t>
            </w:r>
          </w:p>
        </w:tc>
        <w:tc>
          <w:tcPr>
            <w:tcW w:w="3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2BB4C">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2</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A83D4D">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3</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D4D41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4</w:t>
            </w:r>
          </w:p>
        </w:tc>
        <w:tc>
          <w:tcPr>
            <w:tcW w:w="5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DA76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5</w:t>
            </w:r>
          </w:p>
        </w:tc>
        <w:tc>
          <w:tcPr>
            <w:tcW w:w="4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2E286">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6</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C8730">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7</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703A8">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8</w:t>
            </w:r>
          </w:p>
        </w:tc>
        <w:tc>
          <w:tcPr>
            <w:tcW w:w="3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3FD10A">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9</w:t>
            </w:r>
          </w:p>
        </w:tc>
        <w:tc>
          <w:tcPr>
            <w:tcW w:w="4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EEED3">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388179">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11</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78C6D">
            <w:pPr>
              <w:widowControl/>
              <w:jc w:val="center"/>
              <w:textAlignment w:val="center"/>
              <w:rPr>
                <w:rFonts w:hint="default" w:ascii="Times New Roman" w:hAnsi="Times New Roman" w:eastAsia="仿宋_GB2312" w:cs="Times New Roman"/>
                <w:color w:val="000000"/>
                <w:sz w:val="22"/>
              </w:rPr>
            </w:pPr>
            <w:r>
              <w:rPr>
                <w:rFonts w:hint="default" w:ascii="Times New Roman" w:hAnsi="Times New Roman" w:eastAsia="仿宋_GB2312" w:cs="Times New Roman"/>
                <w:color w:val="000000"/>
                <w:kern w:val="0"/>
                <w:sz w:val="22"/>
                <w:lang w:bidi="ar"/>
              </w:rPr>
              <w:t>12</w:t>
            </w:r>
          </w:p>
        </w:tc>
      </w:tr>
      <w:tr w14:paraId="50E14253">
        <w:tblPrEx>
          <w:tblCellMar>
            <w:top w:w="15" w:type="dxa"/>
            <w:left w:w="15" w:type="dxa"/>
            <w:bottom w:w="15" w:type="dxa"/>
            <w:right w:w="15" w:type="dxa"/>
          </w:tblCellMar>
        </w:tblPrEx>
        <w:trPr>
          <w:gridAfter w:val="1"/>
          <w:wAfter w:w="2" w:type="pct"/>
          <w:trHeight w:val="427" w:hRule="atLeast"/>
        </w:trPr>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61FF7">
            <w:pPr>
              <w:jc w:val="right"/>
              <w:rPr>
                <w:rFonts w:hint="default" w:ascii="Times New Roman" w:hAnsi="Times New Roman" w:eastAsia="仿宋_GB2312" w:cs="Times New Roman"/>
                <w:color w:val="000000"/>
                <w:sz w:val="22"/>
              </w:rPr>
            </w:pPr>
          </w:p>
        </w:tc>
        <w:tc>
          <w:tcPr>
            <w:tcW w:w="3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D00BA">
            <w:pPr>
              <w:jc w:val="right"/>
              <w:rPr>
                <w:rFonts w:hint="default" w:ascii="Times New Roman" w:hAnsi="Times New Roman" w:eastAsia="仿宋_GB2312" w:cs="Times New Roman"/>
                <w:color w:val="000000"/>
                <w:sz w:val="22"/>
              </w:rPr>
            </w:pP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EED66">
            <w:pPr>
              <w:jc w:val="right"/>
              <w:rPr>
                <w:rFonts w:hint="default" w:ascii="Times New Roman" w:hAnsi="Times New Roman" w:eastAsia="仿宋_GB2312" w:cs="Times New Roman"/>
                <w:color w:val="000000"/>
                <w:sz w:val="22"/>
              </w:rPr>
            </w:pP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D9C41">
            <w:pPr>
              <w:jc w:val="right"/>
              <w:rPr>
                <w:rFonts w:hint="default" w:ascii="Times New Roman" w:hAnsi="Times New Roman" w:eastAsia="仿宋_GB2312" w:cs="Times New Roman"/>
                <w:color w:val="000000"/>
                <w:sz w:val="22"/>
              </w:rPr>
            </w:pPr>
          </w:p>
        </w:tc>
        <w:tc>
          <w:tcPr>
            <w:tcW w:w="5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DE173">
            <w:pPr>
              <w:jc w:val="right"/>
              <w:rPr>
                <w:rFonts w:hint="default" w:ascii="Times New Roman" w:hAnsi="Times New Roman" w:eastAsia="仿宋_GB2312" w:cs="Times New Roman"/>
                <w:color w:val="000000"/>
                <w:sz w:val="22"/>
              </w:rPr>
            </w:pPr>
          </w:p>
        </w:tc>
        <w:tc>
          <w:tcPr>
            <w:tcW w:w="4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E392C">
            <w:pPr>
              <w:jc w:val="right"/>
              <w:rPr>
                <w:rFonts w:hint="default" w:ascii="Times New Roman" w:hAnsi="Times New Roman" w:eastAsia="仿宋_GB2312" w:cs="Times New Roman"/>
                <w:color w:val="000000"/>
                <w:sz w:val="22"/>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7D77D">
            <w:pPr>
              <w:jc w:val="right"/>
              <w:rPr>
                <w:rFonts w:hint="default" w:ascii="Times New Roman" w:hAnsi="Times New Roman" w:eastAsia="仿宋_GB2312" w:cs="Times New Roman"/>
                <w:color w:val="000000"/>
                <w:sz w:val="22"/>
              </w:rPr>
            </w:pP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112B6">
            <w:pPr>
              <w:jc w:val="right"/>
              <w:rPr>
                <w:rFonts w:hint="default" w:ascii="Times New Roman" w:hAnsi="Times New Roman" w:eastAsia="仿宋_GB2312" w:cs="Times New Roman"/>
                <w:color w:val="000000"/>
                <w:sz w:val="22"/>
              </w:rPr>
            </w:pPr>
          </w:p>
        </w:tc>
        <w:tc>
          <w:tcPr>
            <w:tcW w:w="3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24F6D2">
            <w:pPr>
              <w:jc w:val="right"/>
              <w:rPr>
                <w:rFonts w:hint="default" w:ascii="Times New Roman" w:hAnsi="Times New Roman" w:eastAsia="仿宋_GB2312" w:cs="Times New Roman"/>
                <w:color w:val="000000"/>
                <w:sz w:val="22"/>
              </w:rPr>
            </w:pPr>
          </w:p>
        </w:tc>
        <w:tc>
          <w:tcPr>
            <w:tcW w:w="4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5C3FC">
            <w:pPr>
              <w:jc w:val="right"/>
              <w:rPr>
                <w:rFonts w:hint="default" w:ascii="Times New Roman" w:hAnsi="Times New Roman" w:eastAsia="仿宋_GB2312" w:cs="Times New Roman"/>
                <w:color w:val="000000"/>
                <w:sz w:val="22"/>
              </w:rPr>
            </w:pPr>
          </w:p>
        </w:tc>
        <w:tc>
          <w:tcPr>
            <w:tcW w:w="5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82D85">
            <w:pPr>
              <w:jc w:val="right"/>
              <w:rPr>
                <w:rFonts w:hint="default" w:ascii="Times New Roman" w:hAnsi="Times New Roman" w:eastAsia="仿宋_GB2312" w:cs="Times New Roman"/>
                <w:color w:val="000000"/>
                <w:sz w:val="22"/>
              </w:rPr>
            </w:pP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02F2F">
            <w:pPr>
              <w:jc w:val="right"/>
              <w:rPr>
                <w:rFonts w:hint="default" w:ascii="Times New Roman" w:hAnsi="Times New Roman" w:eastAsia="仿宋_GB2312" w:cs="Times New Roman"/>
                <w:color w:val="000000"/>
                <w:sz w:val="22"/>
              </w:rPr>
            </w:pPr>
          </w:p>
        </w:tc>
      </w:tr>
      <w:tr w14:paraId="362FB2B1">
        <w:tblPrEx>
          <w:tblCellMar>
            <w:top w:w="15" w:type="dxa"/>
            <w:left w:w="15" w:type="dxa"/>
            <w:bottom w:w="15" w:type="dxa"/>
            <w:right w:w="15" w:type="dxa"/>
          </w:tblCellMar>
        </w:tblPrEx>
        <w:trPr>
          <w:gridAfter w:val="1"/>
          <w:wAfter w:w="2" w:type="pct"/>
          <w:trHeight w:val="900" w:hRule="atLeast"/>
        </w:trPr>
        <w:tc>
          <w:tcPr>
            <w:tcW w:w="4997" w:type="pct"/>
            <w:gridSpan w:val="21"/>
            <w:shd w:val="clear" w:color="auto" w:fill="auto"/>
            <w:vAlign w:val="center"/>
          </w:tcPr>
          <w:p w14:paraId="174BEA64">
            <w:pPr>
              <w:keepNext w:val="0"/>
              <w:keepLines w:val="0"/>
              <w:pageBreakBefore w:val="0"/>
              <w:widowControl/>
              <w:kinsoku/>
              <w:wordWrap/>
              <w:overflowPunct/>
              <w:topLinePunct w:val="0"/>
              <w:autoSpaceDE/>
              <w:autoSpaceDN/>
              <w:bidi w:val="0"/>
              <w:adjustRightInd/>
              <w:snapToGrid/>
              <w:ind w:right="0" w:rightChars="0"/>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szCs w:val="24"/>
                <w:lang w:bidi="ar"/>
              </w:rPr>
              <w:t>注：本表</w:t>
            </w:r>
            <w:r>
              <w:rPr>
                <w:rFonts w:hint="default" w:ascii="Times New Roman" w:hAnsi="Times New Roman" w:eastAsia="仿宋_GB2312" w:cs="Times New Roman"/>
                <w:color w:val="000000"/>
                <w:kern w:val="0"/>
                <w:sz w:val="24"/>
                <w:szCs w:val="24"/>
                <w:lang w:eastAsia="zh-CN" w:bidi="ar"/>
              </w:rPr>
              <w:t>反映单位本年度</w:t>
            </w:r>
            <w:r>
              <w:rPr>
                <w:rFonts w:hint="default" w:ascii="Times New Roman" w:hAnsi="Times New Roman" w:eastAsia="仿宋_GB2312" w:cs="Times New Roman"/>
                <w:color w:val="000000"/>
                <w:kern w:val="0"/>
                <w:sz w:val="24"/>
                <w:szCs w:val="24"/>
                <w:lang w:bidi="ar"/>
              </w:rPr>
              <w:t>财政拨款“三公”经费支出预决算情况。其中，预算数为“三公”经费全年预算数，反映按规定程序调整后的预算数；决算数是包括当年财政拨款和以前年度结转资金安排的实际支出。</w:t>
            </w:r>
            <w:r>
              <w:rPr>
                <w:rFonts w:hint="default" w:ascii="Times New Roman" w:hAnsi="Times New Roman" w:eastAsia="仿宋_GB2312" w:cs="Times New Roman"/>
                <w:highlight w:val="none"/>
              </w:rPr>
              <w:t>（</w:t>
            </w:r>
            <w:r>
              <w:rPr>
                <w:rFonts w:hint="default" w:ascii="Times New Roman" w:hAnsi="Times New Roman" w:eastAsia="仿宋_GB2312" w:cs="Times New Roman"/>
                <w:b w:val="0"/>
                <w:bCs/>
                <w:sz w:val="24"/>
                <w:szCs w:val="24"/>
                <w:highlight w:val="none"/>
              </w:rPr>
              <w:t>本</w:t>
            </w:r>
            <w:r>
              <w:rPr>
                <w:rFonts w:hint="default" w:ascii="Times New Roman" w:hAnsi="Times New Roman" w:eastAsia="仿宋_GB2312" w:cs="Times New Roman"/>
                <w:b w:val="0"/>
                <w:bCs/>
                <w:sz w:val="24"/>
                <w:szCs w:val="24"/>
                <w:highlight w:val="none"/>
                <w:lang w:eastAsia="zh-CN"/>
              </w:rPr>
              <w:t>单位</w:t>
            </w:r>
            <w:r>
              <w:rPr>
                <w:rFonts w:hint="default" w:ascii="Times New Roman" w:hAnsi="Times New Roman" w:eastAsia="仿宋_GB2312" w:cs="Times New Roman"/>
                <w:b w:val="0"/>
                <w:bCs/>
                <w:sz w:val="24"/>
                <w:szCs w:val="24"/>
                <w:highlight w:val="none"/>
              </w:rPr>
              <w:t>本年度无</w:t>
            </w:r>
            <w:r>
              <w:rPr>
                <w:rFonts w:hint="default" w:ascii="Times New Roman" w:hAnsi="Times New Roman" w:eastAsia="仿宋_GB2312" w:cs="Times New Roman"/>
                <w:b w:val="0"/>
                <w:bCs/>
                <w:sz w:val="24"/>
                <w:szCs w:val="24"/>
                <w:highlight w:val="none"/>
                <w:lang w:eastAsia="zh-CN"/>
              </w:rPr>
              <w:t>支出</w:t>
            </w:r>
            <w:r>
              <w:rPr>
                <w:rFonts w:hint="default" w:ascii="Times New Roman" w:hAnsi="Times New Roman" w:eastAsia="仿宋_GB2312" w:cs="Times New Roman"/>
                <w:b w:val="0"/>
                <w:bCs/>
                <w:sz w:val="24"/>
                <w:szCs w:val="24"/>
                <w:highlight w:val="none"/>
              </w:rPr>
              <w:t>情况，按要求以空表列示。</w:t>
            </w:r>
            <w:r>
              <w:rPr>
                <w:rFonts w:hint="default" w:ascii="Times New Roman" w:hAnsi="Times New Roman" w:eastAsia="仿宋_GB2312" w:cs="Times New Roman"/>
                <w:highlight w:val="none"/>
              </w:rPr>
              <w:t>）</w:t>
            </w:r>
          </w:p>
        </w:tc>
      </w:tr>
    </w:tbl>
    <w:p w14:paraId="5AE28C56">
      <w:pPr>
        <w:widowControl/>
        <w:spacing w:after="312" w:afterLines="100" w:line="580" w:lineRule="exact"/>
        <w:ind w:left="1757"/>
        <w:jc w:val="left"/>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sectPr>
          <w:pgSz w:w="16838" w:h="11906" w:orient="landscape"/>
          <w:pgMar w:top="1474" w:right="1474" w:bottom="1474" w:left="1474" w:header="851" w:footer="992" w:gutter="0"/>
          <w:cols w:space="425" w:num="1"/>
          <w:titlePg/>
          <w:rtlGutter w:val="0"/>
          <w:docGrid w:type="lines" w:linePitch="319" w:charSpace="0"/>
        </w:sectPr>
      </w:pPr>
    </w:p>
    <w:p w14:paraId="1B46BF3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525B6FC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0837505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5472F03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6164056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117E7EAA">
      <w:pPr>
        <w:widowControl/>
        <w:jc w:val="cente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第三部分</w:t>
      </w:r>
      <w:r>
        <w:rPr>
          <w:rFonts w:hint="default" w:ascii="Times New Roman" w:hAnsi="Times New Roman" w:eastAsia="黑体" w:cs="Times New Roman"/>
          <w:color w:val="000000" w:themeColor="text1"/>
          <w:sz w:val="44"/>
          <w:szCs w:val="44"/>
          <w:lang w:val="en-US" w:eastAsia="zh-CN"/>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 </w:t>
      </w: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 2025年度</w:t>
      </w:r>
      <w:r>
        <w:rPr>
          <w:rFonts w:hint="default" w:ascii="Times New Roman" w:hAnsi="Times New Roman" w:eastAsia="黑体" w:cs="Times New Roman"/>
          <w:color w:val="000000" w:themeColor="text1"/>
          <w:sz w:val="44"/>
          <w:szCs w:val="44"/>
          <w:lang w:eastAsia="zh-CN"/>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单位</w:t>
      </w: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决算情况说明</w:t>
      </w:r>
    </w:p>
    <w:p w14:paraId="53E4F124">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14:paraId="16DB3025">
      <w:pPr>
        <w:spacing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一、收入</w:t>
      </w:r>
      <w:r>
        <w:rPr>
          <w:rFonts w:hint="default" w:ascii="Times New Roman" w:hAnsi="Times New Roman" w:eastAsia="黑体" w:cs="Times New Roman"/>
          <w:kern w:val="0"/>
          <w:sz w:val="32"/>
          <w:szCs w:val="32"/>
        </w:rPr>
        <w:t>支出</w:t>
      </w:r>
      <w:r>
        <w:rPr>
          <w:rFonts w:hint="default" w:ascii="Times New Roman" w:hAnsi="Times New Roman" w:eastAsia="黑体" w:cs="Times New Roman"/>
          <w:sz w:val="32"/>
          <w:szCs w:val="32"/>
        </w:rPr>
        <w:t>决算总体情况说明</w:t>
      </w:r>
    </w:p>
    <w:p w14:paraId="7C389540">
      <w:pPr>
        <w:widowControl/>
        <w:spacing w:before="0" w:beforeLines="0" w:beforeAutospacing="0" w:after="0" w:afterLines="0" w:afterAutospacing="0" w:line="360" w:lineRule="auto"/>
        <w:ind w:firstLine="640" w:firstLineChars="200"/>
        <w:jc w:val="left"/>
        <w:rPr>
          <w:rFonts w:hint="default" w:ascii="Times New Roman" w:hAnsi="Times New Roman" w:eastAsia="仿宋_GB2312" w:cs="Times New Roman"/>
          <w:sz w:val="32"/>
          <w:szCs w:val="32"/>
          <w:lang w:val="en-US" w:eastAsia="zh-CN"/>
        </w:rPr>
      </w:pPr>
      <w:r>
        <w:rPr>
          <w:rFonts w:ascii="Times New Roman" w:eastAsia="仿宋_GB2312"/>
          <w:b w:val="0"/>
          <w:sz w:val="32"/>
          <w:szCs w:val="32"/>
        </w:rPr>
        <w:t>本单位2025年度收、支总计（含结转和结余）均为9,518.87万元。与2024年度决算相比，收支各增加6,185.77万元，增长185.6%，主要原因是</w:t>
      </w:r>
      <w:r>
        <w:rPr>
          <w:rFonts w:hint="eastAsia" w:ascii="Times New Roman" w:eastAsia="仿宋_GB2312"/>
          <w:b w:val="0"/>
          <w:sz w:val="32"/>
          <w:szCs w:val="32"/>
          <w:lang w:val="en-US" w:eastAsia="zh-CN"/>
        </w:rPr>
        <w:t>预算单位调整增加人员经费和专项项目经费。</w:t>
      </w:r>
    </w:p>
    <w:p w14:paraId="081C418A">
      <w:pPr>
        <w:adjustRightInd w:val="0"/>
        <w:snapToGrid w:val="0"/>
        <w:spacing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仿宋_GB2312" w:cs="Times New Roman"/>
          <w:kern w:val="2"/>
          <w:sz w:val="32"/>
          <w:szCs w:val="32"/>
          <w:highlight w:val="yellow"/>
        </w:rPr>
        <w:drawing>
          <wp:anchor distT="0" distB="0" distL="114300" distR="114300" simplePos="0" relativeHeight="251662336" behindDoc="0" locked="0" layoutInCell="1" allowOverlap="1">
            <wp:simplePos x="0" y="0"/>
            <wp:positionH relativeFrom="column">
              <wp:posOffset>-111125</wp:posOffset>
            </wp:positionH>
            <wp:positionV relativeFrom="paragraph">
              <wp:posOffset>359410</wp:posOffset>
            </wp:positionV>
            <wp:extent cx="5979795" cy="3009900"/>
            <wp:effectExtent l="4445" t="4445" r="5080" b="1841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2C813C91">
      <w:pPr>
        <w:adjustRightInd w:val="0"/>
        <w:snapToGrid w:val="0"/>
        <w:spacing w:line="580" w:lineRule="exact"/>
        <w:ind w:firstLine="640" w:firstLineChars="200"/>
        <w:rPr>
          <w:rFonts w:hint="default" w:ascii="Times New Roman" w:hAnsi="Times New Roman" w:eastAsia="仿宋_GB2312" w:cs="Times New Roman"/>
          <w:sz w:val="32"/>
          <w:szCs w:val="32"/>
          <w:highlight w:val="yellow"/>
        </w:rPr>
      </w:pPr>
      <w:r>
        <w:rPr>
          <w:rFonts w:hint="default" w:ascii="Times New Roman" w:hAnsi="Times New Roman" w:eastAsia="黑体" w:cs="Times New Roman"/>
          <w:sz w:val="32"/>
          <w:szCs w:val="32"/>
        </w:rPr>
        <w:t>二、收入决算情况说明</w:t>
      </w:r>
    </w:p>
    <w:p w14:paraId="2C8BB9AA">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本单位2025年度本年收入合计9,491.47万元，其中：财政拨款收入2,661.66万元，占28%；上级补助收入</w:t>
      </w:r>
      <w:r>
        <w:rPr>
          <w:rFonts w:hint="eastAsia" w:ascii="Times New Roman" w:eastAsia="仿宋_GB2312"/>
          <w:b w:val="0"/>
          <w:sz w:val="32"/>
          <w:szCs w:val="32"/>
          <w:lang w:val="en-US" w:eastAsia="zh-CN"/>
        </w:rPr>
        <w:t>0</w:t>
      </w:r>
      <w:r>
        <w:rPr>
          <w:rFonts w:ascii="Times New Roman" w:eastAsia="仿宋_GB2312"/>
          <w:b w:val="0"/>
          <w:sz w:val="32"/>
          <w:szCs w:val="32"/>
        </w:rPr>
        <w:t>万元，占</w:t>
      </w:r>
      <w:r>
        <w:rPr>
          <w:rFonts w:hint="eastAsia" w:ascii="Times New Roman" w:eastAsia="仿宋_GB2312"/>
          <w:b w:val="0"/>
          <w:sz w:val="32"/>
          <w:szCs w:val="32"/>
          <w:lang w:val="en-US" w:eastAsia="zh-CN"/>
        </w:rPr>
        <w:t>0</w:t>
      </w:r>
      <w:r>
        <w:rPr>
          <w:rFonts w:ascii="Times New Roman" w:eastAsia="仿宋_GB2312"/>
          <w:b w:val="0"/>
          <w:sz w:val="32"/>
          <w:szCs w:val="32"/>
        </w:rPr>
        <w:t>%；事业收入6,824.06万元，占71.9%；经营收入</w:t>
      </w:r>
      <w:r>
        <w:rPr>
          <w:rFonts w:hint="eastAsia" w:ascii="Times New Roman" w:eastAsia="仿宋_GB2312"/>
          <w:b w:val="0"/>
          <w:sz w:val="32"/>
          <w:szCs w:val="32"/>
          <w:lang w:val="en-US" w:eastAsia="zh-CN"/>
        </w:rPr>
        <w:t>0</w:t>
      </w:r>
      <w:r>
        <w:rPr>
          <w:rFonts w:ascii="Times New Roman" w:eastAsia="仿宋_GB2312"/>
          <w:b w:val="0"/>
          <w:sz w:val="32"/>
          <w:szCs w:val="32"/>
        </w:rPr>
        <w:t>万元，占</w:t>
      </w:r>
      <w:r>
        <w:rPr>
          <w:rFonts w:hint="eastAsia" w:ascii="Times New Roman" w:eastAsia="仿宋_GB2312"/>
          <w:b w:val="0"/>
          <w:sz w:val="32"/>
          <w:szCs w:val="32"/>
          <w:lang w:val="en-US" w:eastAsia="zh-CN"/>
        </w:rPr>
        <w:t>0</w:t>
      </w:r>
      <w:r>
        <w:rPr>
          <w:rFonts w:ascii="Times New Roman" w:eastAsia="仿宋_GB2312"/>
          <w:b w:val="0"/>
          <w:sz w:val="32"/>
          <w:szCs w:val="32"/>
        </w:rPr>
        <w:t>%；附属单位上缴收入</w:t>
      </w:r>
      <w:r>
        <w:rPr>
          <w:rFonts w:hint="eastAsia" w:ascii="Times New Roman" w:eastAsia="仿宋_GB2312"/>
          <w:b w:val="0"/>
          <w:sz w:val="32"/>
          <w:szCs w:val="32"/>
          <w:lang w:val="en-US" w:eastAsia="zh-CN"/>
        </w:rPr>
        <w:t>0</w:t>
      </w:r>
      <w:r>
        <w:rPr>
          <w:rFonts w:ascii="Times New Roman" w:eastAsia="仿宋_GB2312"/>
          <w:b w:val="0"/>
          <w:sz w:val="32"/>
          <w:szCs w:val="32"/>
        </w:rPr>
        <w:t>万元，占</w:t>
      </w:r>
      <w:r>
        <w:rPr>
          <w:rFonts w:hint="eastAsia" w:ascii="Times New Roman" w:eastAsia="仿宋_GB2312"/>
          <w:b w:val="0"/>
          <w:sz w:val="32"/>
          <w:szCs w:val="32"/>
          <w:lang w:val="en-US" w:eastAsia="zh-CN"/>
        </w:rPr>
        <w:t>0</w:t>
      </w:r>
      <w:r>
        <w:rPr>
          <w:rFonts w:ascii="Times New Roman" w:eastAsia="仿宋_GB2312"/>
          <w:b w:val="0"/>
          <w:sz w:val="32"/>
          <w:szCs w:val="32"/>
        </w:rPr>
        <w:t>%；其他收入5.74万元，占0.1%。</w:t>
      </w:r>
    </w:p>
    <w:p w14:paraId="6C4B6B69">
      <w:pPr>
        <w:autoSpaceDE w:val="0"/>
        <w:autoSpaceDN w:val="0"/>
        <w:adjustRightInd w:val="0"/>
        <w:spacing w:line="580" w:lineRule="exact"/>
        <w:ind w:firstLine="640" w:firstLineChars="200"/>
        <w:jc w:val="left"/>
        <w:rPr>
          <w:rFonts w:hint="default" w:ascii="Times New Roman" w:hAnsi="Times New Roman" w:eastAsia="仿宋_GB2312" w:cs="Times New Roman"/>
          <w:sz w:val="32"/>
          <w:szCs w:val="32"/>
        </w:rPr>
      </w:pPr>
    </w:p>
    <w:p w14:paraId="0EE03968">
      <w:pPr>
        <w:adjustRightInd w:val="0"/>
        <w:snapToGrid w:val="0"/>
        <w:spacing w:line="580" w:lineRule="exact"/>
        <w:ind w:firstLine="640" w:firstLineChars="200"/>
        <w:rPr>
          <w:rFonts w:hint="default" w:ascii="Times New Roman" w:hAnsi="Times New Roman" w:eastAsia="仿宋_GB2312" w:cs="Times New Roman"/>
          <w:sz w:val="32"/>
          <w:szCs w:val="32"/>
          <w:highlight w:val="green"/>
        </w:rPr>
      </w:pPr>
      <w:r>
        <w:rPr>
          <w:rStyle w:val="11"/>
          <w:rFonts w:hint="default" w:ascii="Times New Roman" w:hAnsi="Times New Roman" w:eastAsia="仿宋_GB2312" w:cs="Times New Roman"/>
          <w:kern w:val="2"/>
          <w:sz w:val="32"/>
          <w:szCs w:val="32"/>
          <w:rtl w:val="0"/>
          <w:lang w:eastAsia="zh-CN"/>
        </w:rPr>
        <w:drawing>
          <wp:anchor distT="0" distB="0" distL="114300" distR="114300" simplePos="0" relativeHeight="251663360" behindDoc="0" locked="0" layoutInCell="1" allowOverlap="1">
            <wp:simplePos x="0" y="0"/>
            <wp:positionH relativeFrom="column">
              <wp:posOffset>198120</wp:posOffset>
            </wp:positionH>
            <wp:positionV relativeFrom="paragraph">
              <wp:posOffset>124460</wp:posOffset>
            </wp:positionV>
            <wp:extent cx="5304790" cy="2583815"/>
            <wp:effectExtent l="4445" t="4445" r="9525" b="1778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3A5AB0FF">
      <w:pPr>
        <w:adjustRightInd w:val="0"/>
        <w:snapToGrid w:val="0"/>
        <w:spacing w:line="580" w:lineRule="exact"/>
        <w:ind w:firstLine="640" w:firstLineChars="200"/>
        <w:rPr>
          <w:rFonts w:hint="default" w:ascii="Times New Roman" w:hAnsi="Times New Roman" w:eastAsia="仿宋_GB2312" w:cs="Times New Roman"/>
          <w:sz w:val="32"/>
          <w:szCs w:val="32"/>
          <w:highlight w:val="yellow"/>
        </w:rPr>
      </w:pPr>
      <w:r>
        <w:rPr>
          <w:rFonts w:hint="default" w:ascii="Times New Roman" w:hAnsi="Times New Roman" w:eastAsia="黑体" w:cs="Times New Roman"/>
          <w:sz w:val="32"/>
          <w:szCs w:val="32"/>
        </w:rPr>
        <w:t>三、支出决算情况说明</w:t>
      </w:r>
    </w:p>
    <w:p w14:paraId="016E574D">
      <w:pPr>
        <w:autoSpaceDE w:val="0"/>
        <w:autoSpaceDN w:val="0"/>
        <w:adjustRightInd w:val="0"/>
        <w:spacing w:line="58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本单位2025年度本年支出合计8,745.57万元，其中：基本支出2,533.59万元，占29%；项目支出6,211.98万元，占71%；经营支出0万元，占0%；上缴上级支出0万元，占0%；对附属单位补助支出0万元，占0%。</w:t>
      </w:r>
    </w:p>
    <w:p w14:paraId="7DB0CD1E">
      <w:pPr>
        <w:autoSpaceDE w:val="0"/>
        <w:autoSpaceDN w:val="0"/>
        <w:adjustRightInd w:val="0"/>
        <w:spacing w:line="580" w:lineRule="exact"/>
        <w:ind w:firstLine="640" w:firstLineChars="200"/>
        <w:jc w:val="left"/>
        <w:rPr>
          <w:rFonts w:hint="default" w:ascii="Times New Roman" w:hAnsi="Times New Roman" w:eastAsia="仿宋_GB2312" w:cs="Times New Roman"/>
          <w:sz w:val="32"/>
          <w:szCs w:val="32"/>
          <w:highlight w:val="none"/>
        </w:rPr>
      </w:pPr>
      <w:r>
        <w:rPr>
          <w:rFonts w:hint="default" w:ascii="Times New Roman" w:hAnsi="Times New Roman" w:eastAsia="黑体" w:cs="Times New Roman"/>
          <w:kern w:val="2"/>
          <w:sz w:val="32"/>
          <w:szCs w:val="32"/>
          <w:highlight w:val="none"/>
          <w:lang w:val="en-US" w:eastAsia="zh-CN" w:bidi="ar-SA"/>
        </w:rPr>
        <w:drawing>
          <wp:anchor distT="0" distB="0" distL="114300" distR="114300" simplePos="0" relativeHeight="251664384" behindDoc="0" locked="0" layoutInCell="1" allowOverlap="1">
            <wp:simplePos x="0" y="0"/>
            <wp:positionH relativeFrom="column">
              <wp:posOffset>161290</wp:posOffset>
            </wp:positionH>
            <wp:positionV relativeFrom="paragraph">
              <wp:posOffset>410210</wp:posOffset>
            </wp:positionV>
            <wp:extent cx="5210175" cy="2507615"/>
            <wp:effectExtent l="4445" t="4445" r="12700" b="17780"/>
            <wp:wrapTopAndBottom/>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49636244">
      <w:pPr>
        <w:spacing w:line="580" w:lineRule="exact"/>
        <w:ind w:firstLine="640" w:firstLineChars="200"/>
        <w:outlineLvl w:val="1"/>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四、</w:t>
      </w:r>
      <w:r>
        <w:rPr>
          <w:rFonts w:hint="default" w:ascii="Times New Roman" w:hAnsi="Times New Roman" w:eastAsia="黑体" w:cs="Times New Roman"/>
          <w:kern w:val="0"/>
          <w:sz w:val="32"/>
          <w:szCs w:val="32"/>
        </w:rPr>
        <w:t>财政</w:t>
      </w:r>
      <w:r>
        <w:rPr>
          <w:rFonts w:hint="default" w:ascii="Times New Roman" w:hAnsi="Times New Roman" w:eastAsia="黑体" w:cs="Times New Roman"/>
          <w:sz w:val="32"/>
          <w:szCs w:val="32"/>
        </w:rPr>
        <w:t>拨款收入支出决算总体情况说明</w:t>
      </w:r>
    </w:p>
    <w:p w14:paraId="306DACCA">
      <w:pPr>
        <w:spacing w:line="580" w:lineRule="exact"/>
        <w:ind w:firstLine="640" w:firstLineChars="200"/>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按照省委省政府关于党政机关习惯过紧日子的有关要求，厉行节约办一切事业，严控一般性支出。同时坚持有保有压，优化支出结构，提高资金使用效率，合理保障</w:t>
      </w:r>
      <w:r>
        <w:rPr>
          <w:rFonts w:hint="eastAsia" w:ascii="Times New Roman" w:hAnsi="Times New Roman" w:eastAsia="仿宋_GB2312" w:cs="Times New Roman"/>
          <w:b w:val="0"/>
          <w:sz w:val="32"/>
          <w:szCs w:val="32"/>
          <w:lang w:val="en-US" w:eastAsia="zh-CN"/>
        </w:rPr>
        <w:t>人员、重点研发专项</w:t>
      </w:r>
      <w:r>
        <w:rPr>
          <w:rFonts w:hint="default" w:ascii="Times New Roman" w:hAnsi="Times New Roman" w:eastAsia="仿宋_GB2312" w:cs="Times New Roman"/>
          <w:b w:val="0"/>
          <w:sz w:val="32"/>
          <w:szCs w:val="32"/>
        </w:rPr>
        <w:t>等重点支出，体现在有关支出科目中。</w:t>
      </w:r>
    </w:p>
    <w:p w14:paraId="58180581">
      <w:pPr>
        <w:spacing w:line="58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color w:val="auto"/>
          <w:kern w:val="0"/>
          <w:sz w:val="32"/>
          <w:szCs w:val="32"/>
        </w:rPr>
        <w:t>按照支出功能分类，</w:t>
      </w:r>
      <w:r>
        <w:rPr>
          <w:rFonts w:hint="eastAsia" w:ascii="Times New Roman" w:hAnsi="Times New Roman" w:eastAsia="仿宋_GB2312" w:cs="Times New Roman"/>
          <w:b w:val="0"/>
          <w:bCs w:val="0"/>
          <w:color w:val="auto"/>
          <w:sz w:val="32"/>
          <w:szCs w:val="32"/>
          <w:lang w:val="en-US" w:eastAsia="zh-CN"/>
        </w:rPr>
        <w:t>卫生健康</w:t>
      </w:r>
      <w:r>
        <w:rPr>
          <w:rFonts w:hint="default" w:ascii="Times New Roman" w:hAnsi="Times New Roman" w:eastAsia="仿宋_GB2312" w:cs="Times New Roman"/>
          <w:b w:val="0"/>
          <w:bCs w:val="0"/>
          <w:color w:val="auto"/>
          <w:kern w:val="0"/>
          <w:sz w:val="32"/>
          <w:szCs w:val="32"/>
        </w:rPr>
        <w:t>方面的支出规模较大，主要是：</w:t>
      </w:r>
      <w:r>
        <w:rPr>
          <w:rFonts w:hint="eastAsia" w:ascii="Times New Roman" w:hAnsi="Times New Roman" w:eastAsia="仿宋_GB2312" w:cs="Times New Roman"/>
          <w:b w:val="0"/>
          <w:bCs w:val="0"/>
          <w:color w:val="auto"/>
          <w:kern w:val="0"/>
          <w:sz w:val="32"/>
          <w:szCs w:val="32"/>
          <w:highlight w:val="none"/>
          <w:lang w:val="en-US" w:eastAsia="zh-CN"/>
        </w:rPr>
        <w:t>专用设备购置费、专用材料费、退休费、日常运转等</w:t>
      </w:r>
      <w:r>
        <w:rPr>
          <w:rFonts w:hint="default" w:ascii="Times New Roman" w:hAnsi="Times New Roman" w:eastAsia="仿宋_GB2312" w:cs="Times New Roman"/>
          <w:b w:val="0"/>
          <w:bCs w:val="0"/>
          <w:color w:val="auto"/>
          <w:kern w:val="0"/>
          <w:sz w:val="32"/>
          <w:szCs w:val="32"/>
          <w:highlight w:val="none"/>
        </w:rPr>
        <w:t>，2025年度决算数为</w:t>
      </w:r>
      <w:r>
        <w:rPr>
          <w:rFonts w:hint="eastAsia" w:ascii="Times New Roman" w:hAnsi="Times New Roman" w:eastAsia="仿宋_GB2312" w:cs="Times New Roman"/>
          <w:b w:val="0"/>
          <w:bCs w:val="0"/>
          <w:color w:val="auto"/>
          <w:sz w:val="32"/>
          <w:szCs w:val="32"/>
          <w:highlight w:val="none"/>
          <w:lang w:val="en-US" w:eastAsia="zh-CN"/>
        </w:rPr>
        <w:t>2071.61</w:t>
      </w:r>
      <w:r>
        <w:rPr>
          <w:rFonts w:hint="default" w:ascii="Times New Roman" w:hAnsi="Times New Roman" w:eastAsia="仿宋_GB2312" w:cs="Times New Roman"/>
          <w:b w:val="0"/>
          <w:bCs w:val="0"/>
          <w:color w:val="auto"/>
          <w:kern w:val="0"/>
          <w:sz w:val="32"/>
          <w:szCs w:val="32"/>
          <w:highlight w:val="none"/>
        </w:rPr>
        <w:t>万元，占财政拨款支出总额的</w:t>
      </w:r>
      <w:r>
        <w:rPr>
          <w:rFonts w:hint="eastAsia" w:ascii="Times New Roman" w:hAnsi="Times New Roman" w:eastAsia="仿宋_GB2312" w:cs="Times New Roman"/>
          <w:b w:val="0"/>
          <w:bCs w:val="0"/>
          <w:color w:val="auto"/>
          <w:sz w:val="32"/>
          <w:szCs w:val="32"/>
          <w:highlight w:val="none"/>
          <w:lang w:val="en-US" w:eastAsia="zh-CN"/>
        </w:rPr>
        <w:t>7</w:t>
      </w:r>
      <w:bookmarkStart w:id="0" w:name="_GoBack"/>
      <w:bookmarkEnd w:id="0"/>
      <w:r>
        <w:rPr>
          <w:rFonts w:hint="eastAsia" w:ascii="Times New Roman" w:hAnsi="Times New Roman" w:eastAsia="仿宋_GB2312" w:cs="Times New Roman"/>
          <w:b w:val="0"/>
          <w:bCs w:val="0"/>
          <w:color w:val="auto"/>
          <w:sz w:val="32"/>
          <w:szCs w:val="32"/>
          <w:highlight w:val="none"/>
          <w:lang w:val="en-US" w:eastAsia="zh-CN"/>
        </w:rPr>
        <w:t>7.83</w:t>
      </w:r>
      <w:r>
        <w:rPr>
          <w:rFonts w:hint="default" w:ascii="Times New Roman" w:hAnsi="Times New Roman" w:eastAsia="仿宋_GB2312" w:cs="Times New Roman"/>
          <w:b w:val="0"/>
          <w:bCs w:val="0"/>
          <w:color w:val="auto"/>
          <w:kern w:val="0"/>
          <w:sz w:val="32"/>
          <w:szCs w:val="32"/>
          <w:highlight w:val="none"/>
        </w:rPr>
        <w:t>%，主要用于</w:t>
      </w:r>
      <w:r>
        <w:rPr>
          <w:rFonts w:hint="eastAsia" w:ascii="Times New Roman" w:hAnsi="Times New Roman" w:eastAsia="仿宋_GB2312" w:cs="Times New Roman"/>
          <w:b w:val="0"/>
          <w:bCs w:val="0"/>
          <w:color w:val="auto"/>
          <w:sz w:val="32"/>
          <w:szCs w:val="32"/>
          <w:highlight w:val="none"/>
          <w:lang w:val="en-US" w:eastAsia="zh-CN"/>
        </w:rPr>
        <w:t>医疗机构能力提升补助</w:t>
      </w:r>
      <w:r>
        <w:rPr>
          <w:rFonts w:hint="default" w:ascii="Times New Roman" w:hAnsi="Times New Roman" w:eastAsia="仿宋_GB2312" w:cs="Times New Roman"/>
          <w:b w:val="0"/>
          <w:bCs w:val="0"/>
          <w:color w:val="auto"/>
          <w:kern w:val="0"/>
          <w:sz w:val="32"/>
          <w:szCs w:val="32"/>
          <w:highlight w:val="none"/>
        </w:rPr>
        <w:t>项目、</w:t>
      </w:r>
      <w:r>
        <w:rPr>
          <w:rFonts w:hint="eastAsia" w:ascii="Times New Roman" w:hAnsi="Times New Roman" w:eastAsia="仿宋_GB2312" w:cs="Times New Roman"/>
          <w:b w:val="0"/>
          <w:bCs w:val="0"/>
          <w:color w:val="auto"/>
          <w:kern w:val="0"/>
          <w:sz w:val="32"/>
          <w:szCs w:val="32"/>
          <w:highlight w:val="none"/>
          <w:lang w:val="en-US" w:eastAsia="zh-CN"/>
        </w:rPr>
        <w:t>中医药事业传承与发展补助资金</w:t>
      </w:r>
      <w:r>
        <w:rPr>
          <w:rFonts w:hint="default" w:ascii="Times New Roman" w:hAnsi="Times New Roman" w:eastAsia="仿宋_GB2312" w:cs="Times New Roman"/>
          <w:b w:val="0"/>
          <w:bCs w:val="0"/>
          <w:color w:val="auto"/>
          <w:kern w:val="0"/>
          <w:sz w:val="32"/>
          <w:szCs w:val="32"/>
          <w:highlight w:val="none"/>
        </w:rPr>
        <w:t>等方面</w:t>
      </w:r>
      <w:r>
        <w:rPr>
          <w:rFonts w:hint="default" w:ascii="Times New Roman" w:hAnsi="Times New Roman" w:eastAsia="仿宋_GB2312" w:cs="Times New Roman"/>
          <w:sz w:val="32"/>
          <w:szCs w:val="32"/>
          <w:highlight w:val="none"/>
          <w:lang w:eastAsia="zh-CN"/>
        </w:rPr>
        <w:t>。</w:t>
      </w:r>
    </w:p>
    <w:p w14:paraId="4AC8045A">
      <w:pPr>
        <w:snapToGrid w:val="0"/>
        <w:spacing w:line="58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（一）财政拨款收支与2024年度决算对比情况</w:t>
      </w:r>
    </w:p>
    <w:p w14:paraId="14FCF2B4">
      <w:pPr>
        <w:adjustRightInd w:val="0"/>
        <w:snapToGrid w:val="0"/>
        <w:spacing w:line="580" w:lineRule="exact"/>
        <w:ind w:firstLine="640" w:firstLineChars="200"/>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2"/>
          <w:szCs w:val="32"/>
        </w:rPr>
        <w:t>本</w:t>
      </w:r>
      <w:r>
        <w:rPr>
          <w:rFonts w:hint="default"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2025年度财政拨款收、支总计（含结转和结余）均为</w:t>
      </w:r>
      <w:r>
        <w:rPr>
          <w:rFonts w:ascii="Times New Roman" w:eastAsia="仿宋_GB2312"/>
          <w:b w:val="0"/>
          <w:sz w:val="32"/>
          <w:szCs w:val="32"/>
        </w:rPr>
        <w:t>2,689.06</w:t>
      </w:r>
      <w:r>
        <w:rPr>
          <w:rFonts w:hint="default" w:ascii="Times New Roman" w:hAnsi="Times New Roman" w:eastAsia="仿宋_GB2312" w:cs="Times New Roman"/>
          <w:sz w:val="32"/>
          <w:szCs w:val="32"/>
        </w:rPr>
        <w:t>万元。与2024年度相比，财政拨款收支各增加</w:t>
      </w:r>
      <w:r>
        <w:rPr>
          <w:rFonts w:ascii="Times New Roman" w:eastAsia="仿宋_GB2312"/>
          <w:b w:val="0"/>
          <w:sz w:val="32"/>
          <w:szCs w:val="32"/>
        </w:rPr>
        <w:t>395.15</w:t>
      </w:r>
      <w:r>
        <w:rPr>
          <w:rFonts w:hint="default" w:ascii="Times New Roman" w:hAnsi="Times New Roman" w:eastAsia="仿宋_GB2312" w:cs="Times New Roman"/>
          <w:sz w:val="32"/>
          <w:szCs w:val="32"/>
        </w:rPr>
        <w:t>万元，增长</w:t>
      </w:r>
      <w:r>
        <w:rPr>
          <w:rFonts w:ascii="Times New Roman" w:eastAsia="仿宋_GB2312"/>
          <w:b w:val="0"/>
          <w:sz w:val="32"/>
          <w:szCs w:val="32"/>
        </w:rPr>
        <w:t>17.2%</w:t>
      </w:r>
      <w:r>
        <w:rPr>
          <w:rFonts w:hint="default"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中医药事业传承与发展补助建设类项目资金增加</w:t>
      </w:r>
      <w:r>
        <w:rPr>
          <w:rFonts w:hint="default" w:ascii="Times New Roman" w:hAnsi="Times New Roman" w:eastAsia="仿宋_GB2312" w:cs="Times New Roman"/>
          <w:sz w:val="32"/>
          <w:szCs w:val="32"/>
        </w:rPr>
        <w:t>。</w:t>
      </w:r>
    </w:p>
    <w:p w14:paraId="1CC06873">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2025年度财政拨款本年收入</w:t>
      </w:r>
      <w:r>
        <w:rPr>
          <w:rFonts w:ascii="Times New Roman" w:eastAsia="仿宋_GB2312"/>
          <w:b w:val="0"/>
          <w:sz w:val="32"/>
          <w:szCs w:val="32"/>
        </w:rPr>
        <w:t>2,661.66</w:t>
      </w:r>
      <w:r>
        <w:rPr>
          <w:rFonts w:hint="default" w:ascii="Times New Roman" w:hAnsi="Times New Roman" w:eastAsia="仿宋_GB2312" w:cs="Times New Roman"/>
          <w:sz w:val="32"/>
          <w:szCs w:val="32"/>
        </w:rPr>
        <w:t>万元，比2024年度增加</w:t>
      </w:r>
      <w:r>
        <w:rPr>
          <w:rFonts w:ascii="Times New Roman" w:eastAsia="仿宋_GB2312"/>
          <w:b w:val="0"/>
          <w:sz w:val="32"/>
          <w:szCs w:val="32"/>
        </w:rPr>
        <w:t>367.75</w:t>
      </w:r>
      <w:r>
        <w:rPr>
          <w:rFonts w:hint="default" w:ascii="Times New Roman" w:hAnsi="Times New Roman" w:eastAsia="仿宋_GB2312" w:cs="Times New Roman"/>
          <w:sz w:val="32"/>
          <w:szCs w:val="32"/>
        </w:rPr>
        <w:t>万元，增长</w:t>
      </w:r>
      <w:r>
        <w:rPr>
          <w:rFonts w:ascii="Times New Roman" w:eastAsia="仿宋_GB2312"/>
          <w:b w:val="0"/>
          <w:sz w:val="32"/>
          <w:szCs w:val="32"/>
        </w:rPr>
        <w:t>16%</w:t>
      </w:r>
      <w:r>
        <w:rPr>
          <w:rFonts w:hint="default"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中医药事业传承与发展补助建设类项目资金增加</w:t>
      </w:r>
      <w:r>
        <w:rPr>
          <w:rFonts w:hint="default" w:ascii="Times New Roman" w:hAnsi="Times New Roman" w:eastAsia="仿宋_GB2312" w:cs="Times New Roman"/>
          <w:sz w:val="32"/>
          <w:szCs w:val="32"/>
        </w:rPr>
        <w:t>；本年支出</w:t>
      </w:r>
      <w:r>
        <w:rPr>
          <w:rFonts w:ascii="Times New Roman" w:eastAsia="仿宋_GB2312"/>
          <w:b w:val="0"/>
          <w:sz w:val="32"/>
          <w:szCs w:val="32"/>
        </w:rPr>
        <w:t>2,689.06</w:t>
      </w:r>
      <w:r>
        <w:rPr>
          <w:rFonts w:hint="default" w:ascii="Times New Roman" w:hAnsi="Times New Roman" w:eastAsia="仿宋_GB2312" w:cs="Times New Roman"/>
          <w:sz w:val="32"/>
          <w:szCs w:val="32"/>
        </w:rPr>
        <w:t>万元，增加</w:t>
      </w:r>
      <w:r>
        <w:rPr>
          <w:rFonts w:ascii="Times New Roman" w:eastAsia="仿宋_GB2312"/>
          <w:b w:val="0"/>
          <w:sz w:val="32"/>
          <w:szCs w:val="32"/>
        </w:rPr>
        <w:t>428.41</w:t>
      </w:r>
      <w:r>
        <w:rPr>
          <w:rFonts w:hint="default" w:ascii="Times New Roman" w:hAnsi="Times New Roman" w:eastAsia="仿宋_GB2312" w:cs="Times New Roman"/>
          <w:sz w:val="32"/>
          <w:szCs w:val="32"/>
        </w:rPr>
        <w:t>万元，增长</w:t>
      </w:r>
      <w:r>
        <w:rPr>
          <w:rFonts w:ascii="Times New Roman" w:eastAsia="仿宋_GB2312"/>
          <w:b w:val="0"/>
          <w:sz w:val="32"/>
          <w:szCs w:val="32"/>
        </w:rPr>
        <w:t>19%</w:t>
      </w:r>
      <w:r>
        <w:rPr>
          <w:rFonts w:hint="default"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中医药事业传承与发展补助建设类项目资金、上年结转人员经费增加</w:t>
      </w:r>
      <w:r>
        <w:rPr>
          <w:rFonts w:hint="default" w:ascii="Times New Roman" w:hAnsi="Times New Roman" w:eastAsia="仿宋_GB2312" w:cs="Times New Roman"/>
          <w:sz w:val="32"/>
          <w:szCs w:val="32"/>
        </w:rPr>
        <w:t>。具体情况如下：</w:t>
      </w:r>
    </w:p>
    <w:p w14:paraId="3444D171">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1.一般公共预算财政拨款本年收入</w:t>
      </w:r>
      <w:r>
        <w:rPr>
          <w:rFonts w:ascii="Times New Roman" w:eastAsia="仿宋_GB2312"/>
          <w:b w:val="0"/>
          <w:sz w:val="32"/>
          <w:szCs w:val="32"/>
        </w:rPr>
        <w:t>2,661.66</w:t>
      </w:r>
      <w:r>
        <w:rPr>
          <w:rFonts w:hint="default" w:ascii="Times New Roman" w:hAnsi="Times New Roman" w:eastAsia="仿宋_GB2312" w:cs="Times New Roman"/>
          <w:sz w:val="32"/>
          <w:szCs w:val="32"/>
        </w:rPr>
        <w:t>万元，比上年增加</w:t>
      </w:r>
      <w:r>
        <w:rPr>
          <w:rFonts w:ascii="Times New Roman" w:eastAsia="仿宋_GB2312"/>
          <w:b w:val="0"/>
          <w:sz w:val="32"/>
          <w:szCs w:val="32"/>
        </w:rPr>
        <w:t>367.75</w:t>
      </w:r>
      <w:r>
        <w:rPr>
          <w:rFonts w:hint="default" w:ascii="Times New Roman" w:hAnsi="Times New Roman" w:eastAsia="仿宋_GB2312" w:cs="Times New Roman"/>
          <w:sz w:val="32"/>
          <w:szCs w:val="32"/>
        </w:rPr>
        <w:t>万元，增长</w:t>
      </w:r>
      <w:r>
        <w:rPr>
          <w:rFonts w:ascii="Times New Roman" w:eastAsia="仿宋_GB2312"/>
          <w:b w:val="0"/>
          <w:sz w:val="32"/>
          <w:szCs w:val="32"/>
        </w:rPr>
        <w:t>16%</w:t>
      </w:r>
      <w:r>
        <w:rPr>
          <w:rFonts w:hint="default"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中医药事业传承与发展补助建设类项目资金增加</w:t>
      </w:r>
      <w:r>
        <w:rPr>
          <w:rFonts w:hint="default" w:ascii="Times New Roman" w:hAnsi="Times New Roman" w:eastAsia="仿宋_GB2312" w:cs="Times New Roman"/>
          <w:sz w:val="32"/>
          <w:szCs w:val="32"/>
        </w:rPr>
        <w:t>；本年支出</w:t>
      </w:r>
      <w:r>
        <w:rPr>
          <w:rFonts w:ascii="Times New Roman" w:eastAsia="仿宋_GB2312"/>
          <w:b w:val="0"/>
          <w:sz w:val="32"/>
          <w:szCs w:val="32"/>
        </w:rPr>
        <w:t>2,689.06</w:t>
      </w:r>
      <w:r>
        <w:rPr>
          <w:rFonts w:hint="default" w:ascii="Times New Roman" w:hAnsi="Times New Roman" w:eastAsia="仿宋_GB2312" w:cs="Times New Roman"/>
          <w:sz w:val="32"/>
          <w:szCs w:val="32"/>
        </w:rPr>
        <w:t>万元，比上年增加</w:t>
      </w:r>
      <w:r>
        <w:rPr>
          <w:rFonts w:ascii="Times New Roman" w:eastAsia="仿宋_GB2312"/>
          <w:b w:val="0"/>
          <w:sz w:val="32"/>
          <w:szCs w:val="32"/>
        </w:rPr>
        <w:t>428.41</w:t>
      </w:r>
      <w:r>
        <w:rPr>
          <w:rFonts w:hint="default" w:ascii="Times New Roman" w:hAnsi="Times New Roman" w:eastAsia="仿宋_GB2312" w:cs="Times New Roman"/>
          <w:sz w:val="32"/>
          <w:szCs w:val="32"/>
        </w:rPr>
        <w:t>万元，增长</w:t>
      </w:r>
      <w:r>
        <w:rPr>
          <w:rFonts w:ascii="Times New Roman" w:eastAsia="仿宋_GB2312"/>
          <w:b w:val="0"/>
          <w:sz w:val="32"/>
          <w:szCs w:val="32"/>
        </w:rPr>
        <w:t>19%</w:t>
      </w:r>
      <w:r>
        <w:rPr>
          <w:rFonts w:hint="default"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中医药事业传承与发展补助建设类项目资金、上年结转人员经费增加</w:t>
      </w:r>
      <w:r>
        <w:rPr>
          <w:rFonts w:hint="default" w:ascii="Times New Roman" w:hAnsi="Times New Roman" w:eastAsia="仿宋_GB2312" w:cs="Times New Roman"/>
          <w:sz w:val="32"/>
          <w:szCs w:val="32"/>
        </w:rPr>
        <w:t>。</w:t>
      </w:r>
    </w:p>
    <w:p w14:paraId="7F9007C2">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highlight w:val="none"/>
          <w:lang w:eastAsia="zh-CN"/>
        </w:rPr>
        <w:t>政府性基金预算财政拨款本年收入0万元，较上年持平，主要原因是本年度我单位无政府性基金预算财政拨款项目；本年支出0万元，较上年持平，主要原因是我单位本年度未发生政府性基金预算财政拨款项目支出。</w:t>
      </w:r>
    </w:p>
    <w:p w14:paraId="5F86DF48">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highlight w:val="none"/>
          <w:lang w:eastAsia="zh-CN"/>
        </w:rPr>
        <w:t>国有资本经营预算财政拨款本年收入0万元，较上年持平，主要原因是本年度我单位无国有资本经营预算财政拨款项目；本年支出0万元，较上年持平，主要原因是我单位本年度未发生国有资本经营预算财政拨款项目支出。</w:t>
      </w:r>
    </w:p>
    <w:p w14:paraId="36A8D526">
      <w:pPr>
        <w:adjustRightInd w:val="0"/>
        <w:snapToGrid w:val="0"/>
        <w:spacing w:line="580" w:lineRule="exact"/>
        <w:rPr>
          <w:rFonts w:hint="default" w:ascii="Times New Roman" w:hAnsi="Times New Roman" w:eastAsia="楷体_GB2312" w:cs="Times New Roman"/>
          <w:b/>
          <w:bCs/>
          <w:sz w:val="32"/>
          <w:szCs w:val="32"/>
        </w:rPr>
      </w:pPr>
    </w:p>
    <w:p w14:paraId="1ECE82BD">
      <w:pPr>
        <w:adjustRightInd w:val="0"/>
        <w:snapToGrid w:val="0"/>
        <w:spacing w:line="580" w:lineRule="exact"/>
        <w:ind w:firstLine="640" w:firstLineChars="200"/>
        <w:rPr>
          <w:rFonts w:hint="default" w:ascii="Times New Roman" w:hAnsi="Times New Roman" w:eastAsia="楷体_GB2312" w:cs="Times New Roman"/>
          <w:b/>
          <w:bCs/>
          <w:sz w:val="32"/>
          <w:szCs w:val="32"/>
        </w:rPr>
      </w:pPr>
      <w:r>
        <w:rPr>
          <w:rFonts w:hint="default" w:ascii="Times New Roman" w:hAnsi="Times New Roman" w:eastAsia="仿宋_GB2312" w:cs="Times New Roman"/>
          <w:sz w:val="32"/>
          <w:szCs w:val="32"/>
        </w:rPr>
        <w:drawing>
          <wp:anchor distT="0" distB="0" distL="114300" distR="114300" simplePos="0" relativeHeight="251665408" behindDoc="0" locked="0" layoutInCell="1" allowOverlap="1">
            <wp:simplePos x="0" y="0"/>
            <wp:positionH relativeFrom="column">
              <wp:posOffset>175895</wp:posOffset>
            </wp:positionH>
            <wp:positionV relativeFrom="paragraph">
              <wp:posOffset>274320</wp:posOffset>
            </wp:positionV>
            <wp:extent cx="5726430" cy="3704590"/>
            <wp:effectExtent l="4445" t="4445" r="14605" b="9525"/>
            <wp:wrapTopAndBottom/>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42EEE15F">
      <w:pPr>
        <w:adjustRightInd w:val="0"/>
        <w:snapToGrid w:val="0"/>
        <w:spacing w:line="58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楷体_GB2312" w:cs="Times New Roman"/>
          <w:b/>
          <w:bCs/>
          <w:sz w:val="32"/>
          <w:szCs w:val="32"/>
        </w:rPr>
        <w:t>（二）财政拨款收支与年初预算数对比情况</w:t>
      </w:r>
    </w:p>
    <w:p w14:paraId="5EAD047A">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2025年度财政拨款本年收入</w:t>
      </w:r>
      <w:r>
        <w:rPr>
          <w:rFonts w:ascii="Times New Roman" w:eastAsia="仿宋_GB2312"/>
          <w:b w:val="0"/>
          <w:sz w:val="32"/>
          <w:szCs w:val="32"/>
        </w:rPr>
        <w:t>2,661.66</w:t>
      </w:r>
      <w:r>
        <w:rPr>
          <w:rFonts w:hint="default" w:ascii="Times New Roman" w:hAnsi="Times New Roman" w:eastAsia="仿宋_GB2312" w:cs="Times New Roman"/>
          <w:sz w:val="32"/>
          <w:szCs w:val="32"/>
        </w:rPr>
        <w:t>万元，完成年初预算的</w:t>
      </w:r>
      <w:r>
        <w:rPr>
          <w:rFonts w:ascii="Times New Roman" w:eastAsia="仿宋_GB2312"/>
          <w:b w:val="0"/>
          <w:sz w:val="32"/>
          <w:szCs w:val="32"/>
        </w:rPr>
        <w:t>112%</w:t>
      </w:r>
      <w:r>
        <w:rPr>
          <w:rFonts w:hint="default" w:ascii="Times New Roman" w:hAnsi="Times New Roman" w:eastAsia="仿宋_GB2312" w:cs="Times New Roman"/>
          <w:sz w:val="32"/>
          <w:szCs w:val="32"/>
        </w:rPr>
        <w:t>，比年初预算增加</w:t>
      </w:r>
      <w:r>
        <w:rPr>
          <w:rFonts w:ascii="Times New Roman" w:eastAsia="仿宋_GB2312"/>
          <w:b w:val="0"/>
          <w:sz w:val="32"/>
          <w:szCs w:val="32"/>
        </w:rPr>
        <w:t>285.93</w:t>
      </w:r>
      <w:r>
        <w:rPr>
          <w:rFonts w:hint="default" w:ascii="Times New Roman" w:hAnsi="Times New Roman" w:eastAsia="仿宋_GB2312" w:cs="Times New Roman"/>
          <w:sz w:val="32"/>
          <w:szCs w:val="32"/>
        </w:rPr>
        <w:t>万元，决算数大于预算数主要原因是</w:t>
      </w:r>
      <w:r>
        <w:rPr>
          <w:rFonts w:hint="eastAsia" w:ascii="Times New Roman" w:hAnsi="Times New Roman" w:eastAsia="仿宋_GB2312" w:cs="Times New Roman"/>
          <w:sz w:val="32"/>
          <w:szCs w:val="32"/>
          <w:lang w:val="en-US" w:eastAsia="zh-CN"/>
        </w:rPr>
        <w:t>中医药事业传承与发展补助建设类项目资金、上年结转人员经费增加</w:t>
      </w:r>
      <w:r>
        <w:rPr>
          <w:rFonts w:hint="default" w:ascii="Times New Roman" w:hAnsi="Times New Roman" w:eastAsia="仿宋_GB2312" w:cs="Times New Roman"/>
          <w:sz w:val="32"/>
          <w:szCs w:val="32"/>
        </w:rPr>
        <w:t>；本年支出</w:t>
      </w:r>
      <w:r>
        <w:rPr>
          <w:rFonts w:ascii="Times New Roman" w:eastAsia="仿宋_GB2312"/>
          <w:b w:val="0"/>
          <w:sz w:val="32"/>
          <w:szCs w:val="32"/>
        </w:rPr>
        <w:t>2,689.06</w:t>
      </w:r>
      <w:r>
        <w:rPr>
          <w:rFonts w:hint="default" w:ascii="Times New Roman" w:hAnsi="Times New Roman" w:eastAsia="仿宋_GB2312" w:cs="Times New Roman"/>
          <w:sz w:val="32"/>
          <w:szCs w:val="32"/>
        </w:rPr>
        <w:t>万元，完成年初预算的</w:t>
      </w:r>
      <w:r>
        <w:rPr>
          <w:rFonts w:ascii="Times New Roman" w:eastAsia="仿宋_GB2312"/>
          <w:b w:val="0"/>
          <w:sz w:val="32"/>
          <w:szCs w:val="32"/>
        </w:rPr>
        <w:t>113.2%</w:t>
      </w:r>
      <w:r>
        <w:rPr>
          <w:rFonts w:hint="default" w:ascii="Times New Roman" w:hAnsi="Times New Roman" w:eastAsia="仿宋_GB2312" w:cs="Times New Roman"/>
          <w:sz w:val="32"/>
          <w:szCs w:val="32"/>
        </w:rPr>
        <w:t>，比年初预算增加</w:t>
      </w:r>
      <w:r>
        <w:rPr>
          <w:rFonts w:ascii="Times New Roman" w:eastAsia="仿宋_GB2312"/>
          <w:b w:val="0"/>
          <w:sz w:val="32"/>
          <w:szCs w:val="32"/>
        </w:rPr>
        <w:t>313.33</w:t>
      </w:r>
      <w:r>
        <w:rPr>
          <w:rFonts w:hint="default" w:ascii="Times New Roman" w:hAnsi="Times New Roman" w:eastAsia="仿宋_GB2312" w:cs="Times New Roman"/>
          <w:sz w:val="32"/>
          <w:szCs w:val="32"/>
        </w:rPr>
        <w:t>万元，决算数大于预算数主要原因是</w:t>
      </w:r>
      <w:r>
        <w:rPr>
          <w:rFonts w:hint="eastAsia" w:ascii="Times New Roman" w:hAnsi="Times New Roman" w:eastAsia="仿宋_GB2312" w:cs="Times New Roman"/>
          <w:sz w:val="32"/>
          <w:szCs w:val="32"/>
          <w:lang w:val="en-US" w:eastAsia="zh-CN"/>
        </w:rPr>
        <w:t>中医药事业传承与发展补助建设类项目资金、上年结转人员经费增加</w:t>
      </w:r>
      <w:r>
        <w:rPr>
          <w:rFonts w:hint="default" w:ascii="Times New Roman" w:hAnsi="Times New Roman" w:eastAsia="仿宋_GB2312" w:cs="Times New Roman"/>
          <w:sz w:val="32"/>
          <w:szCs w:val="32"/>
        </w:rPr>
        <w:t>。具体情况如下：</w:t>
      </w:r>
    </w:p>
    <w:p w14:paraId="3A0AC65B">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1.一般公共预算财政拨款本年收入完成年初预算</w:t>
      </w:r>
      <w:r>
        <w:rPr>
          <w:rFonts w:ascii="Times New Roman" w:eastAsia="仿宋_GB2312"/>
          <w:b w:val="0"/>
          <w:sz w:val="32"/>
          <w:szCs w:val="32"/>
        </w:rPr>
        <w:t>112%</w:t>
      </w:r>
      <w:r>
        <w:rPr>
          <w:rFonts w:hint="default" w:ascii="Times New Roman" w:hAnsi="Times New Roman" w:eastAsia="仿宋_GB2312" w:cs="Times New Roman"/>
          <w:sz w:val="32"/>
          <w:szCs w:val="32"/>
        </w:rPr>
        <w:t>，比年初预算增加</w:t>
      </w:r>
      <w:r>
        <w:rPr>
          <w:rFonts w:ascii="Times New Roman" w:eastAsia="仿宋_GB2312"/>
          <w:b w:val="0"/>
          <w:sz w:val="32"/>
          <w:szCs w:val="32"/>
        </w:rPr>
        <w:t>285.93</w:t>
      </w:r>
      <w:r>
        <w:rPr>
          <w:rFonts w:hint="default" w:ascii="Times New Roman" w:hAnsi="Times New Roman" w:eastAsia="仿宋_GB2312" w:cs="Times New Roman"/>
          <w:sz w:val="32"/>
          <w:szCs w:val="32"/>
        </w:rPr>
        <w:t>万元，主要原因是</w:t>
      </w:r>
      <w:r>
        <w:rPr>
          <w:rFonts w:hint="eastAsia" w:ascii="Times New Roman" w:hAnsi="Times New Roman" w:eastAsia="仿宋_GB2312" w:cs="Times New Roman"/>
          <w:sz w:val="32"/>
          <w:szCs w:val="32"/>
          <w:lang w:val="en-US" w:eastAsia="zh-CN"/>
        </w:rPr>
        <w:t>中医药事业传承与发展补助建设类项目资金增加</w:t>
      </w:r>
      <w:r>
        <w:rPr>
          <w:rFonts w:hint="default" w:ascii="Times New Roman" w:hAnsi="Times New Roman" w:eastAsia="仿宋_GB2312" w:cs="Times New Roman"/>
          <w:sz w:val="32"/>
          <w:szCs w:val="32"/>
        </w:rPr>
        <w:t>；支出完成年初预算</w:t>
      </w:r>
      <w:r>
        <w:rPr>
          <w:rFonts w:ascii="Times New Roman" w:eastAsia="仿宋_GB2312"/>
          <w:b w:val="0"/>
          <w:sz w:val="32"/>
          <w:szCs w:val="32"/>
        </w:rPr>
        <w:t>113.2%</w:t>
      </w:r>
      <w:r>
        <w:rPr>
          <w:rFonts w:hint="default" w:ascii="Times New Roman" w:hAnsi="Times New Roman" w:eastAsia="仿宋_GB2312" w:cs="Times New Roman"/>
          <w:sz w:val="32"/>
          <w:szCs w:val="32"/>
        </w:rPr>
        <w:t>，比年初预算增加</w:t>
      </w:r>
      <w:r>
        <w:rPr>
          <w:rFonts w:ascii="Times New Roman" w:eastAsia="仿宋_GB2312"/>
          <w:b w:val="0"/>
          <w:sz w:val="32"/>
          <w:szCs w:val="32"/>
        </w:rPr>
        <w:t>313.33</w:t>
      </w:r>
      <w:r>
        <w:rPr>
          <w:rFonts w:hint="default" w:ascii="Times New Roman" w:hAnsi="Times New Roman" w:eastAsia="仿宋_GB2312" w:cs="Times New Roman"/>
          <w:sz w:val="32"/>
          <w:szCs w:val="32"/>
        </w:rPr>
        <w:t>万元，主要原因是</w:t>
      </w:r>
      <w:r>
        <w:rPr>
          <w:rFonts w:hint="eastAsia" w:ascii="Times New Roman" w:hAnsi="Times New Roman" w:eastAsia="仿宋_GB2312" w:cs="Times New Roman"/>
          <w:sz w:val="32"/>
          <w:szCs w:val="32"/>
          <w:lang w:val="en-US" w:eastAsia="zh-CN"/>
        </w:rPr>
        <w:t>中医药事业传承与发展补助建设类项目资金、上年结转人员经费增加</w:t>
      </w:r>
      <w:r>
        <w:rPr>
          <w:rFonts w:hint="default" w:ascii="Times New Roman" w:hAnsi="Times New Roman" w:eastAsia="仿宋_GB2312" w:cs="Times New Roman"/>
          <w:sz w:val="32"/>
          <w:szCs w:val="32"/>
        </w:rPr>
        <w:t>。</w:t>
      </w:r>
    </w:p>
    <w:p w14:paraId="23BF59C7">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政府性基金预算财政拨款</w:t>
      </w:r>
      <w:r>
        <w:rPr>
          <w:rFonts w:hint="default" w:ascii="Times New Roman" w:hAnsi="Times New Roman" w:eastAsia="仿宋_GB2312" w:cs="Times New Roman"/>
          <w:sz w:val="32"/>
          <w:szCs w:val="32"/>
          <w:lang w:val="zh-CN" w:eastAsia="zh-CN"/>
        </w:rPr>
        <w:t>本年收入0万元，完成年初预算的0%，与年初预算持平，主要原因是无</w:t>
      </w:r>
      <w:r>
        <w:rPr>
          <w:rFonts w:hint="default" w:ascii="Times New Roman" w:hAnsi="Times New Roman" w:eastAsia="仿宋_GB2312" w:cs="Times New Roman"/>
          <w:sz w:val="32"/>
          <w:szCs w:val="32"/>
          <w:lang w:val="en-US" w:eastAsia="zh-CN"/>
        </w:rPr>
        <w:t>政府性基金预算财政拨款</w:t>
      </w:r>
      <w:r>
        <w:rPr>
          <w:rFonts w:hint="default" w:ascii="Times New Roman" w:hAnsi="Times New Roman" w:eastAsia="仿宋_GB2312" w:cs="Times New Roman"/>
          <w:sz w:val="32"/>
          <w:szCs w:val="32"/>
          <w:lang w:val="zh-CN" w:eastAsia="zh-CN"/>
        </w:rPr>
        <w:t>项目；本年支出0万元，完成年初预算的0%，与年初预算持平，主要原因是无</w:t>
      </w:r>
      <w:r>
        <w:rPr>
          <w:rFonts w:hint="default" w:ascii="Times New Roman" w:hAnsi="Times New Roman" w:eastAsia="仿宋_GB2312" w:cs="Times New Roman"/>
          <w:sz w:val="32"/>
          <w:szCs w:val="32"/>
          <w:lang w:val="en-US" w:eastAsia="zh-CN"/>
        </w:rPr>
        <w:t>政府性基金预算财政拨款</w:t>
      </w:r>
      <w:r>
        <w:rPr>
          <w:rFonts w:hint="default" w:ascii="Times New Roman" w:hAnsi="Times New Roman" w:eastAsia="仿宋_GB2312" w:cs="Times New Roman"/>
          <w:sz w:val="32"/>
          <w:szCs w:val="32"/>
          <w:lang w:val="zh-CN" w:eastAsia="zh-CN"/>
        </w:rPr>
        <w:t>项目。</w:t>
      </w:r>
    </w:p>
    <w:p w14:paraId="5FEFA9E1">
      <w:pPr>
        <w:adjustRightInd w:val="0"/>
        <w:snapToGrid w:val="0"/>
        <w:spacing w:line="580" w:lineRule="exact"/>
        <w:ind w:firstLine="640" w:firstLineChars="20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zh-CN" w:eastAsia="zh-CN"/>
        </w:rPr>
        <w:t>国有资本经营预算财政拨款本年收入0万元，完成年初预算的0%，与年初预算持平，主要原因是无国有资本经营预算财政拨款项目；本年支出0万元，完成年初预算的0%，与年初预算持平，主要原因是无国有资本经营预算财政拨款项目。</w:t>
      </w:r>
    </w:p>
    <w:p w14:paraId="34B9367F">
      <w:pPr>
        <w:adjustRightInd w:val="0"/>
        <w:snapToGrid w:val="0"/>
        <w:spacing w:line="580" w:lineRule="exact"/>
        <w:ind w:firstLine="640" w:firstLineChars="200"/>
        <w:rPr>
          <w:rFonts w:hint="default" w:ascii="Times New Roman" w:hAnsi="Times New Roman" w:eastAsia="仿宋_GB2312" w:cs="Times New Roman"/>
          <w:sz w:val="32"/>
          <w:szCs w:val="32"/>
          <w:highlight w:val="green"/>
        </w:rPr>
      </w:pPr>
    </w:p>
    <w:p w14:paraId="2806032A">
      <w:pPr>
        <w:adjustRightInd w:val="0"/>
        <w:snapToGrid w:val="0"/>
        <w:spacing w:line="580" w:lineRule="exact"/>
        <w:ind w:firstLine="640" w:firstLineChars="20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drawing>
          <wp:anchor distT="0" distB="0" distL="114300" distR="114300" simplePos="0" relativeHeight="251666432" behindDoc="0" locked="0" layoutInCell="1" allowOverlap="1">
            <wp:simplePos x="0" y="0"/>
            <wp:positionH relativeFrom="column">
              <wp:posOffset>-29210</wp:posOffset>
            </wp:positionH>
            <wp:positionV relativeFrom="paragraph">
              <wp:posOffset>34290</wp:posOffset>
            </wp:positionV>
            <wp:extent cx="5626100" cy="3425190"/>
            <wp:effectExtent l="4445" t="4445" r="8255" b="1460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73C625C9">
      <w:pPr>
        <w:adjustRightInd w:val="0"/>
        <w:snapToGrid w:val="0"/>
        <w:spacing w:line="580" w:lineRule="exact"/>
        <w:ind w:left="42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（三）财政拨款支出决算结构情况</w:t>
      </w:r>
    </w:p>
    <w:p w14:paraId="7FBD8098">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2025年度财政拨款支出</w:t>
      </w:r>
      <w:r>
        <w:rPr>
          <w:rFonts w:ascii="Times New Roman" w:eastAsia="仿宋_GB2312"/>
          <w:b w:val="0"/>
          <w:sz w:val="32"/>
          <w:szCs w:val="32"/>
        </w:rPr>
        <w:t>2,689.06</w:t>
      </w:r>
      <w:r>
        <w:rPr>
          <w:rFonts w:hint="default" w:ascii="Times New Roman" w:hAnsi="Times New Roman" w:eastAsia="仿宋_GB2312" w:cs="Times New Roman"/>
          <w:sz w:val="32"/>
          <w:szCs w:val="32"/>
        </w:rPr>
        <w:t>万元，主要用于以下方面</w:t>
      </w:r>
    </w:p>
    <w:p w14:paraId="38165694">
      <w:pPr>
        <w:adjustRightInd w:val="0"/>
        <w:snapToGrid w:val="0"/>
        <w:spacing w:line="58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一般公共预算财政拨款支出：</w:t>
      </w:r>
    </w:p>
    <w:p w14:paraId="4C3864F5">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社会保障和就业（类）支出</w:t>
      </w:r>
      <w:r>
        <w:rPr>
          <w:rFonts w:ascii="Times New Roman" w:eastAsia="仿宋_GB2312"/>
          <w:b w:val="0"/>
          <w:sz w:val="32"/>
          <w:szCs w:val="32"/>
        </w:rPr>
        <w:t>538.05万元，占20%</w:t>
      </w:r>
      <w:r>
        <w:rPr>
          <w:rFonts w:hint="eastAsia" w:ascii="Times New Roman" w:eastAsia="仿宋_GB2312"/>
          <w:b w:val="0"/>
          <w:sz w:val="32"/>
          <w:szCs w:val="32"/>
          <w:lang w:eastAsia="zh-CN"/>
        </w:rPr>
        <w:t>，</w:t>
      </w:r>
      <w:r>
        <w:rPr>
          <w:rFonts w:hint="eastAsia" w:ascii="Times New Roman" w:eastAsia="仿宋_GB2312"/>
          <w:b w:val="0"/>
          <w:sz w:val="32"/>
          <w:szCs w:val="32"/>
          <w:lang w:val="en-US" w:eastAsia="zh-CN"/>
        </w:rPr>
        <w:t>主要用于退休人员的退休费和生活补贴、在职人员养老保险和职业年金等保障支出</w:t>
      </w:r>
      <w:r>
        <w:rPr>
          <w:rFonts w:hint="default" w:ascii="Times New Roman" w:hAnsi="Times New Roman" w:eastAsia="仿宋_GB2312" w:cs="Times New Roman"/>
          <w:sz w:val="32"/>
          <w:szCs w:val="32"/>
        </w:rPr>
        <w:t>；</w:t>
      </w:r>
      <w:r>
        <w:rPr>
          <w:rFonts w:ascii="Times New Roman" w:eastAsia="仿宋_GB2312"/>
          <w:b w:val="0"/>
          <w:sz w:val="32"/>
          <w:szCs w:val="32"/>
        </w:rPr>
        <w:t>卫生健康（类）支出2,071.61万元，占77%</w:t>
      </w:r>
      <w:r>
        <w:rPr>
          <w:rFonts w:hint="eastAsia" w:ascii="Times New Roman" w:eastAsia="仿宋_GB2312"/>
          <w:b w:val="0"/>
          <w:sz w:val="32"/>
          <w:szCs w:val="32"/>
          <w:lang w:eastAsia="zh-CN"/>
        </w:rPr>
        <w:t>，</w:t>
      </w:r>
      <w:r>
        <w:rPr>
          <w:rFonts w:hint="eastAsia" w:ascii="Times New Roman" w:eastAsia="仿宋_GB2312"/>
          <w:b w:val="0"/>
          <w:sz w:val="32"/>
          <w:szCs w:val="32"/>
          <w:lang w:val="en-US" w:eastAsia="zh-CN"/>
        </w:rPr>
        <w:t>主要用于</w:t>
      </w:r>
      <w:r>
        <w:rPr>
          <w:rFonts w:hint="eastAsia" w:ascii="Times New Roman" w:hAnsi="Times New Roman" w:eastAsia="仿宋_GB2312" w:cs="Times New Roman"/>
          <w:sz w:val="32"/>
          <w:szCs w:val="32"/>
          <w:lang w:val="en-US" w:eastAsia="zh-CN"/>
        </w:rPr>
        <w:t>中医药事业传承与发展补助建设类项目资金、人员经费支出等；</w:t>
      </w:r>
      <w:r>
        <w:rPr>
          <w:rFonts w:hint="default" w:ascii="Times New Roman" w:hAnsi="Times New Roman" w:eastAsia="仿宋_GB2312" w:cs="Times New Roman"/>
          <w:sz w:val="32"/>
          <w:szCs w:val="32"/>
        </w:rPr>
        <w:t>住房保障（类）支出</w:t>
      </w:r>
      <w:r>
        <w:rPr>
          <w:rFonts w:ascii="Times New Roman" w:eastAsia="仿宋_GB2312"/>
          <w:b w:val="0"/>
          <w:sz w:val="32"/>
          <w:szCs w:val="32"/>
        </w:rPr>
        <w:t>79.41万元，占3%</w:t>
      </w:r>
      <w:r>
        <w:rPr>
          <w:rFonts w:hint="default" w:ascii="Times New Roman" w:hAnsi="Times New Roman" w:eastAsia="仿宋_GB2312" w:cs="Times New Roman"/>
          <w:sz w:val="32"/>
          <w:szCs w:val="32"/>
        </w:rPr>
        <w:t>，主要用于</w:t>
      </w:r>
      <w:r>
        <w:rPr>
          <w:rFonts w:hint="eastAsia" w:ascii="Times New Roman" w:hAnsi="Times New Roman" w:eastAsia="仿宋_GB2312" w:cs="Times New Roman"/>
          <w:sz w:val="32"/>
          <w:szCs w:val="32"/>
          <w:lang w:val="en-US" w:eastAsia="zh-CN"/>
        </w:rPr>
        <w:t>住房公积金</w:t>
      </w:r>
      <w:r>
        <w:rPr>
          <w:rFonts w:hint="default" w:ascii="Times New Roman" w:hAnsi="Times New Roman" w:eastAsia="仿宋_GB2312" w:cs="Times New Roman"/>
          <w:sz w:val="32"/>
          <w:szCs w:val="32"/>
        </w:rPr>
        <w:t>支出。</w:t>
      </w:r>
    </w:p>
    <w:p w14:paraId="78FB8F5F">
      <w:pPr>
        <w:adjustRightInd w:val="0"/>
        <w:snapToGrid w:val="0"/>
        <w:spacing w:line="58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政府性基金预算财政拨款支出：</w:t>
      </w:r>
      <w:r>
        <w:rPr>
          <w:rFonts w:hint="default" w:ascii="Times New Roman" w:hAnsi="Times New Roman" w:eastAsia="仿宋_GB2312" w:cs="Times New Roman"/>
          <w:sz w:val="32"/>
          <w:szCs w:val="32"/>
          <w:lang w:eastAsia="zh-CN"/>
        </w:rPr>
        <w:t>政府性基金预算财政拨款支出本年未发生。</w:t>
      </w:r>
    </w:p>
    <w:p w14:paraId="16F1A0B2">
      <w:pPr>
        <w:adjustRightInd w:val="0"/>
        <w:snapToGrid w:val="0"/>
        <w:spacing w:line="580" w:lineRule="exact"/>
        <w:ind w:firstLine="643"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sz w:val="32"/>
          <w:szCs w:val="32"/>
        </w:rPr>
        <w:t>国有资本经营预算财政拨款支出：</w:t>
      </w:r>
      <w:r>
        <w:rPr>
          <w:rFonts w:hint="default" w:ascii="Times New Roman" w:hAnsi="Times New Roman" w:eastAsia="仿宋_GB2312" w:cs="Times New Roman"/>
          <w:sz w:val="32"/>
          <w:szCs w:val="32"/>
          <w:lang w:eastAsia="zh-CN"/>
        </w:rPr>
        <w:t>国有资本经营预算财政拨款支出本年未发生。</w:t>
      </w:r>
    </w:p>
    <w:p w14:paraId="6FCF38BB">
      <w:pPr>
        <w:adjustRightInd w:val="0"/>
        <w:snapToGrid w:val="0"/>
        <w:spacing w:line="580" w:lineRule="exact"/>
        <w:ind w:left="420" w:left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（四）一般公共预算财政拨款基本支出决算情况说明</w:t>
      </w:r>
    </w:p>
    <w:p w14:paraId="7A6A0128">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2025年度财政拨款基本支出</w:t>
      </w:r>
      <w:r>
        <w:rPr>
          <w:rFonts w:ascii="Times New Roman" w:eastAsia="仿宋_GB2312"/>
          <w:b w:val="0"/>
          <w:sz w:val="32"/>
          <w:szCs w:val="32"/>
        </w:rPr>
        <w:t>1,660.91</w:t>
      </w:r>
      <w:r>
        <w:rPr>
          <w:rFonts w:hint="default" w:ascii="Times New Roman" w:hAnsi="Times New Roman" w:eastAsia="仿宋_GB2312" w:cs="Times New Roman"/>
          <w:sz w:val="32"/>
          <w:szCs w:val="32"/>
        </w:rPr>
        <w:t>万元，其中：</w:t>
      </w:r>
    </w:p>
    <w:p w14:paraId="531BA6BF">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人员经费</w:t>
      </w:r>
      <w:r>
        <w:rPr>
          <w:rFonts w:ascii="Times New Roman" w:eastAsia="仿宋_GB2312"/>
          <w:b w:val="0"/>
          <w:sz w:val="32"/>
          <w:szCs w:val="32"/>
        </w:rPr>
        <w:t>1,660.91</w:t>
      </w:r>
      <w:r>
        <w:rPr>
          <w:rFonts w:hint="default" w:ascii="Times New Roman" w:hAnsi="Times New Roman" w:eastAsia="仿宋_GB2312" w:cs="Times New Roman"/>
          <w:sz w:val="32"/>
          <w:szCs w:val="32"/>
        </w:rPr>
        <w:t>万元，主要包括基本工资、津贴补贴、奖金、绩效工资、机关事业单位基本养老保险缴费、职业年金缴费、职工基本医疗保险缴费、住房公积金、其他社会保障缴费、其他工资福利支出、退休费、抚恤金、其他对个人和家庭的补助支出。</w:t>
      </w:r>
    </w:p>
    <w:p w14:paraId="2D680321">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公用经费</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14:paraId="30995B70">
      <w:pPr>
        <w:adjustRightInd w:val="0"/>
        <w:snapToGrid w:val="0"/>
        <w:spacing w:line="58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五、财政拨款“三公”经费支出决算情况说明</w:t>
      </w:r>
    </w:p>
    <w:p w14:paraId="1B2E4331">
      <w:pPr>
        <w:adjustRightInd w:val="0"/>
        <w:snapToGrid w:val="0"/>
        <w:spacing w:line="58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（一）“三公”经费财政拨款支出决算总体情况说明</w:t>
      </w:r>
    </w:p>
    <w:p w14:paraId="3F7248D5">
      <w:pPr>
        <w:adjustRightInd w:val="0"/>
        <w:snapToGrid w:val="0"/>
        <w:spacing w:line="58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单位2025</w:t>
      </w:r>
      <w:r>
        <w:rPr>
          <w:rFonts w:hint="default" w:ascii="Times New Roman" w:hAnsi="Times New Roman" w:eastAsia="仿宋_GB2312" w:cs="Times New Roman"/>
          <w:sz w:val="32"/>
          <w:szCs w:val="32"/>
          <w:highlight w:val="none"/>
        </w:rPr>
        <w:t>年度“三公”经费财政拨款支出预算为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万元，支出决算为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万元，完成预算的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%，较预算</w:t>
      </w:r>
      <w:r>
        <w:rPr>
          <w:rFonts w:hint="default" w:ascii="Times New Roman" w:hAnsi="Times New Roman" w:eastAsia="仿宋_GB2312" w:cs="Times New Roman"/>
          <w:sz w:val="32"/>
          <w:szCs w:val="32"/>
          <w:highlight w:val="none"/>
          <w:lang w:eastAsia="zh-CN"/>
        </w:rPr>
        <w:t>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本年度我单位未</w:t>
      </w:r>
      <w:r>
        <w:rPr>
          <w:rFonts w:hint="default" w:ascii="Times New Roman" w:hAnsi="Times New Roman" w:eastAsia="仿宋_GB2312" w:cs="Times New Roman"/>
          <w:sz w:val="32"/>
          <w:szCs w:val="32"/>
          <w:highlight w:val="none"/>
        </w:rPr>
        <w:t>安排财政拨款“三公经费”支出预算</w:t>
      </w:r>
      <w:r>
        <w:rPr>
          <w:rFonts w:hint="default" w:ascii="Times New Roman" w:hAnsi="Times New Roman" w:eastAsia="仿宋_GB2312" w:cs="Times New Roman"/>
          <w:kern w:val="2"/>
          <w:sz w:val="32"/>
          <w:szCs w:val="32"/>
          <w:highlight w:val="none"/>
          <w:lang w:val="zh-CN"/>
        </w:rPr>
        <w:t>，因此，未发生此类支出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000000"/>
          <w:sz w:val="32"/>
          <w:szCs w:val="32"/>
          <w:highlight w:val="none"/>
        </w:rPr>
        <w:t>与</w:t>
      </w:r>
      <w:r>
        <w:rPr>
          <w:rFonts w:hint="default" w:ascii="Times New Roman" w:hAnsi="Times New Roman" w:eastAsia="仿宋_GB2312" w:cs="Times New Roman"/>
          <w:color w:val="000000"/>
          <w:sz w:val="32"/>
          <w:szCs w:val="32"/>
          <w:highlight w:val="none"/>
          <w:lang w:eastAsia="zh-CN"/>
        </w:rPr>
        <w:t>2024</w:t>
      </w:r>
      <w:r>
        <w:rPr>
          <w:rFonts w:hint="default" w:ascii="Times New Roman" w:hAnsi="Times New Roman" w:eastAsia="仿宋_GB2312" w:cs="Times New Roman"/>
          <w:color w:val="000000"/>
          <w:sz w:val="32"/>
          <w:szCs w:val="32"/>
          <w:highlight w:val="none"/>
        </w:rPr>
        <w:t>年度决算支出持平</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本年度与上年度我单位均未</w:t>
      </w:r>
      <w:r>
        <w:rPr>
          <w:rFonts w:hint="default" w:ascii="Times New Roman" w:hAnsi="Times New Roman" w:eastAsia="仿宋_GB2312" w:cs="Times New Roman"/>
          <w:sz w:val="32"/>
          <w:szCs w:val="32"/>
          <w:highlight w:val="none"/>
        </w:rPr>
        <w:t>安排财政拨款“三公经费”支出预算</w:t>
      </w:r>
      <w:r>
        <w:rPr>
          <w:rFonts w:hint="default" w:ascii="Times New Roman" w:hAnsi="Times New Roman" w:eastAsia="仿宋_GB2312" w:cs="Times New Roman"/>
          <w:sz w:val="32"/>
          <w:szCs w:val="32"/>
          <w:highlight w:val="none"/>
          <w:lang w:eastAsia="zh-CN"/>
        </w:rPr>
        <w:t>，因此，此类决算与上年度持平</w:t>
      </w:r>
      <w:r>
        <w:rPr>
          <w:rFonts w:hint="default" w:ascii="Times New Roman" w:hAnsi="Times New Roman" w:eastAsia="仿宋_GB2312" w:cs="Times New Roman"/>
          <w:sz w:val="32"/>
          <w:szCs w:val="32"/>
          <w:highlight w:val="none"/>
        </w:rPr>
        <w:t>。</w:t>
      </w:r>
    </w:p>
    <w:p w14:paraId="6A0B5351">
      <w:pPr>
        <w:adjustRightInd w:val="0"/>
        <w:snapToGrid w:val="0"/>
        <w:spacing w:line="58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（二）“三公”经费财政拨款支出决算具体情况说明</w:t>
      </w:r>
    </w:p>
    <w:p w14:paraId="6B0EB48F">
      <w:pPr>
        <w:adjustRightInd w:val="0"/>
        <w:snapToGrid w:val="0"/>
        <w:spacing w:line="580" w:lineRule="exact"/>
        <w:ind w:firstLine="643" w:firstLineChars="20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b/>
          <w:bCs/>
          <w:sz w:val="32"/>
          <w:szCs w:val="32"/>
          <w:highlight w:val="none"/>
        </w:rPr>
        <w:t>1.因公出国（境）费支出情况。</w:t>
      </w: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单位2025</w:t>
      </w:r>
      <w:r>
        <w:rPr>
          <w:rFonts w:hint="default" w:ascii="Times New Roman" w:hAnsi="Times New Roman" w:eastAsia="仿宋_GB2312" w:cs="Times New Roman"/>
          <w:sz w:val="32"/>
          <w:szCs w:val="32"/>
          <w:highlight w:val="none"/>
        </w:rPr>
        <w:t>年度因公出国（境）费支出预算为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万元，支出决算</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万元，完成预算的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%。因公出国（境）费支出较预算</w:t>
      </w:r>
      <w:r>
        <w:rPr>
          <w:rFonts w:hint="default" w:ascii="Times New Roman" w:hAnsi="Times New Roman" w:eastAsia="仿宋_GB2312" w:cs="Times New Roman"/>
          <w:sz w:val="32"/>
          <w:szCs w:val="32"/>
          <w:highlight w:val="none"/>
          <w:lang w:eastAsia="zh-CN"/>
        </w:rPr>
        <w:t>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本年度我单位未</w:t>
      </w:r>
      <w:r>
        <w:rPr>
          <w:rFonts w:hint="default" w:ascii="Times New Roman" w:hAnsi="Times New Roman" w:eastAsia="仿宋_GB2312" w:cs="Times New Roman"/>
          <w:sz w:val="32"/>
          <w:szCs w:val="32"/>
          <w:highlight w:val="none"/>
        </w:rPr>
        <w:t>安排财政拨款因公出国（境）费支出预算</w:t>
      </w:r>
      <w:r>
        <w:rPr>
          <w:rFonts w:hint="default" w:ascii="Times New Roman" w:hAnsi="Times New Roman" w:eastAsia="仿宋_GB2312" w:cs="Times New Roman"/>
          <w:kern w:val="2"/>
          <w:sz w:val="32"/>
          <w:szCs w:val="32"/>
          <w:highlight w:val="none"/>
          <w:lang w:val="zh-CN"/>
        </w:rPr>
        <w:t>，因此，未发生此类支出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与</w:t>
      </w:r>
      <w:r>
        <w:rPr>
          <w:rFonts w:hint="default" w:ascii="Times New Roman" w:hAnsi="Times New Roman" w:eastAsia="仿宋_GB2312" w:cs="Times New Roman"/>
          <w:color w:val="000000"/>
          <w:sz w:val="32"/>
          <w:szCs w:val="32"/>
          <w:highlight w:val="none"/>
          <w:lang w:eastAsia="zh-CN"/>
        </w:rPr>
        <w:t>2024</w:t>
      </w:r>
      <w:r>
        <w:rPr>
          <w:rFonts w:hint="default" w:ascii="Times New Roman" w:hAnsi="Times New Roman" w:eastAsia="仿宋_GB2312" w:cs="Times New Roman"/>
          <w:color w:val="000000"/>
          <w:sz w:val="32"/>
          <w:szCs w:val="32"/>
          <w:highlight w:val="none"/>
        </w:rPr>
        <w:t>年度决算支出持平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本年度与上年度我单位均未</w:t>
      </w:r>
      <w:r>
        <w:rPr>
          <w:rFonts w:hint="default" w:ascii="Times New Roman" w:hAnsi="Times New Roman" w:eastAsia="仿宋_GB2312" w:cs="Times New Roman"/>
          <w:sz w:val="32"/>
          <w:szCs w:val="32"/>
          <w:highlight w:val="none"/>
        </w:rPr>
        <w:t>安排财政拨款因公出国（境）费支出预算</w:t>
      </w:r>
      <w:r>
        <w:rPr>
          <w:rFonts w:hint="default" w:ascii="Times New Roman" w:hAnsi="Times New Roman" w:eastAsia="仿宋_GB2312" w:cs="Times New Roman"/>
          <w:sz w:val="32"/>
          <w:szCs w:val="32"/>
          <w:highlight w:val="none"/>
          <w:lang w:eastAsia="zh-CN"/>
        </w:rPr>
        <w:t>，因此，此类决算与上年度持平</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本年度</w:t>
      </w:r>
      <w:r>
        <w:rPr>
          <w:rFonts w:hint="default" w:ascii="Times New Roman" w:hAnsi="Times New Roman" w:eastAsia="仿宋_GB2312" w:cs="Times New Roman"/>
          <w:sz w:val="32"/>
          <w:szCs w:val="32"/>
          <w:highlight w:val="none"/>
        </w:rPr>
        <w:t>无本</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组织的出国（境）团组。</w:t>
      </w:r>
    </w:p>
    <w:p w14:paraId="2A5B002D">
      <w:pPr>
        <w:adjustRightInd w:val="0"/>
        <w:snapToGrid w:val="0"/>
        <w:spacing w:line="58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楷体_GB2312" w:cs="Times New Roman"/>
          <w:b/>
          <w:bCs/>
          <w:sz w:val="32"/>
          <w:szCs w:val="32"/>
          <w:highlight w:val="none"/>
        </w:rPr>
        <w:t>2.公务用车购置及运行维护费支出情况。</w:t>
      </w: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单位2025</w:t>
      </w:r>
      <w:r>
        <w:rPr>
          <w:rFonts w:hint="default" w:ascii="Times New Roman" w:hAnsi="Times New Roman" w:eastAsia="仿宋_GB2312" w:cs="Times New Roman"/>
          <w:sz w:val="32"/>
          <w:szCs w:val="32"/>
          <w:highlight w:val="none"/>
        </w:rPr>
        <w:t>年度公务用车购置及运行维护费预算为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万元，支出决算</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万元，完成预算的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%。较预算</w:t>
      </w:r>
      <w:r>
        <w:rPr>
          <w:rFonts w:hint="default" w:ascii="Times New Roman" w:hAnsi="Times New Roman" w:eastAsia="仿宋_GB2312" w:cs="Times New Roman"/>
          <w:sz w:val="32"/>
          <w:szCs w:val="32"/>
          <w:highlight w:val="none"/>
          <w:lang w:eastAsia="zh-CN"/>
        </w:rPr>
        <w:t>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本年度我单位未</w:t>
      </w:r>
      <w:r>
        <w:rPr>
          <w:rFonts w:hint="default" w:ascii="Times New Roman" w:hAnsi="Times New Roman" w:eastAsia="仿宋_GB2312" w:cs="Times New Roman"/>
          <w:sz w:val="32"/>
          <w:szCs w:val="32"/>
          <w:highlight w:val="none"/>
        </w:rPr>
        <w:t>安排财政拨款公务用车购置及运行维护费支出预算</w:t>
      </w:r>
      <w:r>
        <w:rPr>
          <w:rFonts w:hint="default" w:ascii="Times New Roman" w:hAnsi="Times New Roman" w:eastAsia="仿宋_GB2312" w:cs="Times New Roman"/>
          <w:kern w:val="2"/>
          <w:sz w:val="32"/>
          <w:szCs w:val="32"/>
          <w:highlight w:val="none"/>
          <w:lang w:val="zh-CN"/>
        </w:rPr>
        <w:t>，因此，未发生此类支出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与</w:t>
      </w:r>
      <w:r>
        <w:rPr>
          <w:rFonts w:hint="default" w:ascii="Times New Roman" w:hAnsi="Times New Roman" w:eastAsia="仿宋_GB2312" w:cs="Times New Roman"/>
          <w:color w:val="000000"/>
          <w:sz w:val="32"/>
          <w:szCs w:val="32"/>
          <w:highlight w:val="none"/>
          <w:lang w:eastAsia="zh-CN"/>
        </w:rPr>
        <w:t>2024</w:t>
      </w:r>
      <w:r>
        <w:rPr>
          <w:rFonts w:hint="default" w:ascii="Times New Roman" w:hAnsi="Times New Roman" w:eastAsia="仿宋_GB2312" w:cs="Times New Roman"/>
          <w:color w:val="000000"/>
          <w:sz w:val="32"/>
          <w:szCs w:val="32"/>
          <w:highlight w:val="none"/>
        </w:rPr>
        <w:t>年度决算支出持平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本年度与上年度我单位均未</w:t>
      </w:r>
      <w:r>
        <w:rPr>
          <w:rFonts w:hint="default" w:ascii="Times New Roman" w:hAnsi="Times New Roman" w:eastAsia="仿宋_GB2312" w:cs="Times New Roman"/>
          <w:sz w:val="32"/>
          <w:szCs w:val="32"/>
          <w:highlight w:val="none"/>
        </w:rPr>
        <w:t>安排财政拨款公务用车购置及运行维护费支出预算</w:t>
      </w:r>
      <w:r>
        <w:rPr>
          <w:rFonts w:hint="default" w:ascii="Times New Roman" w:hAnsi="Times New Roman" w:eastAsia="仿宋_GB2312" w:cs="Times New Roman"/>
          <w:sz w:val="32"/>
          <w:szCs w:val="32"/>
          <w:highlight w:val="none"/>
          <w:lang w:eastAsia="zh-CN"/>
        </w:rPr>
        <w:t>，因此，此类决算与上年度持平</w:t>
      </w:r>
      <w:r>
        <w:rPr>
          <w:rFonts w:hint="default" w:ascii="Times New Roman" w:hAnsi="Times New Roman" w:eastAsia="仿宋_GB2312" w:cs="Times New Roman"/>
          <w:sz w:val="32"/>
          <w:szCs w:val="32"/>
          <w:highlight w:val="none"/>
        </w:rPr>
        <w:t>。其中：</w:t>
      </w:r>
    </w:p>
    <w:p w14:paraId="7216C193">
      <w:pPr>
        <w:adjustRightInd w:val="0"/>
        <w:snapToGrid w:val="0"/>
        <w:spacing w:line="580" w:lineRule="exact"/>
        <w:ind w:firstLine="643"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sz w:val="32"/>
          <w:szCs w:val="32"/>
          <w:highlight w:val="none"/>
        </w:rPr>
        <w:t>公务用车购置费支出</w:t>
      </w:r>
      <w:r>
        <w:rPr>
          <w:rFonts w:hint="default" w:ascii="Times New Roman" w:hAnsi="Times New Roman" w:eastAsia="楷体_GB2312" w:cs="Times New Roman"/>
          <w:b/>
          <w:bCs/>
          <w:sz w:val="32"/>
          <w:szCs w:val="32"/>
          <w:highlight w:val="none"/>
          <w:lang w:val="en-US" w:eastAsia="zh-CN"/>
        </w:rPr>
        <w:t>0</w:t>
      </w:r>
      <w:r>
        <w:rPr>
          <w:rFonts w:hint="default" w:ascii="Times New Roman" w:hAnsi="Times New Roman" w:eastAsia="楷体_GB2312" w:cs="Times New Roman"/>
          <w:b/>
          <w:bCs/>
          <w:sz w:val="32"/>
          <w:szCs w:val="32"/>
          <w:highlight w:val="none"/>
        </w:rPr>
        <w:t>万元</w:t>
      </w:r>
      <w:r>
        <w:rPr>
          <w:rFonts w:hint="default" w:ascii="Times New Roman" w:hAnsi="Times New Roman" w:eastAsia="仿宋_GB2312" w:cs="Times New Roman"/>
          <w:b/>
          <w:sz w:val="32"/>
          <w:szCs w:val="32"/>
          <w:highlight w:val="none"/>
        </w:rPr>
        <w:t>：</w:t>
      </w: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单位2025</w:t>
      </w:r>
      <w:r>
        <w:rPr>
          <w:rFonts w:hint="default" w:ascii="Times New Roman" w:hAnsi="Times New Roman" w:eastAsia="仿宋_GB2312" w:cs="Times New Roman"/>
          <w:sz w:val="32"/>
          <w:szCs w:val="32"/>
          <w:highlight w:val="none"/>
        </w:rPr>
        <w:t>年度公务用车购置量</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辆，发生“公务用车购置”经费支出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万元。公务用车购置费支出较预算</w:t>
      </w:r>
      <w:r>
        <w:rPr>
          <w:rFonts w:hint="default" w:ascii="Times New Roman" w:hAnsi="Times New Roman" w:eastAsia="仿宋_GB2312" w:cs="Times New Roman"/>
          <w:sz w:val="32"/>
          <w:szCs w:val="32"/>
          <w:highlight w:val="none"/>
          <w:lang w:eastAsia="zh-CN"/>
        </w:rPr>
        <w:t>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本年度我单位未</w:t>
      </w:r>
      <w:r>
        <w:rPr>
          <w:rFonts w:hint="default" w:ascii="Times New Roman" w:hAnsi="Times New Roman" w:eastAsia="仿宋_GB2312" w:cs="Times New Roman"/>
          <w:sz w:val="32"/>
          <w:szCs w:val="32"/>
          <w:highlight w:val="none"/>
        </w:rPr>
        <w:t>安排财政拨款公务用车购置费支出预算</w:t>
      </w:r>
      <w:r>
        <w:rPr>
          <w:rFonts w:hint="default" w:ascii="Times New Roman" w:hAnsi="Times New Roman" w:eastAsia="仿宋_GB2312" w:cs="Times New Roman"/>
          <w:kern w:val="2"/>
          <w:sz w:val="32"/>
          <w:szCs w:val="32"/>
          <w:highlight w:val="none"/>
          <w:lang w:val="zh-CN"/>
        </w:rPr>
        <w:t>，因此，未发生此类支出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与</w:t>
      </w:r>
      <w:r>
        <w:rPr>
          <w:rFonts w:hint="default" w:ascii="Times New Roman" w:hAnsi="Times New Roman" w:eastAsia="仿宋_GB2312" w:cs="Times New Roman"/>
          <w:color w:val="000000"/>
          <w:sz w:val="32"/>
          <w:szCs w:val="32"/>
          <w:highlight w:val="none"/>
          <w:lang w:eastAsia="zh-CN"/>
        </w:rPr>
        <w:t>2024</w:t>
      </w:r>
      <w:r>
        <w:rPr>
          <w:rFonts w:hint="default" w:ascii="Times New Roman" w:hAnsi="Times New Roman" w:eastAsia="仿宋_GB2312" w:cs="Times New Roman"/>
          <w:color w:val="000000"/>
          <w:sz w:val="32"/>
          <w:szCs w:val="32"/>
          <w:highlight w:val="none"/>
        </w:rPr>
        <w:t>年度决算支出持平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本年度与上年度我单位均未</w:t>
      </w:r>
      <w:r>
        <w:rPr>
          <w:rFonts w:hint="default" w:ascii="Times New Roman" w:hAnsi="Times New Roman" w:eastAsia="仿宋_GB2312" w:cs="Times New Roman"/>
          <w:sz w:val="32"/>
          <w:szCs w:val="32"/>
          <w:highlight w:val="none"/>
        </w:rPr>
        <w:t>安排财政拨款公务用车购置费支出预算</w:t>
      </w:r>
      <w:r>
        <w:rPr>
          <w:rFonts w:hint="default" w:ascii="Times New Roman" w:hAnsi="Times New Roman" w:eastAsia="仿宋_GB2312" w:cs="Times New Roman"/>
          <w:sz w:val="32"/>
          <w:szCs w:val="32"/>
          <w:highlight w:val="none"/>
          <w:lang w:eastAsia="zh-CN"/>
        </w:rPr>
        <w:t>，因此，此类决算与上年度持平</w:t>
      </w:r>
      <w:r>
        <w:rPr>
          <w:rFonts w:hint="default" w:ascii="Times New Roman" w:hAnsi="Times New Roman" w:eastAsia="仿宋_GB2312" w:cs="Times New Roman"/>
          <w:sz w:val="32"/>
          <w:szCs w:val="32"/>
          <w:highlight w:val="none"/>
        </w:rPr>
        <w:t>。</w:t>
      </w:r>
    </w:p>
    <w:p w14:paraId="4B44A045">
      <w:pPr>
        <w:adjustRightInd w:val="0"/>
        <w:snapToGrid w:val="0"/>
        <w:spacing w:line="580" w:lineRule="exact"/>
        <w:ind w:firstLine="643"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sz w:val="32"/>
          <w:szCs w:val="32"/>
          <w:highlight w:val="none"/>
        </w:rPr>
        <w:t>公务用车运行维护费支出</w:t>
      </w:r>
      <w:r>
        <w:rPr>
          <w:rFonts w:hint="default" w:ascii="Times New Roman" w:hAnsi="Times New Roman" w:eastAsia="仿宋_GB2312" w:cs="Times New Roman"/>
          <w:b/>
          <w:sz w:val="32"/>
          <w:szCs w:val="32"/>
          <w:highlight w:val="none"/>
          <w:lang w:val="en-US" w:eastAsia="zh-CN"/>
        </w:rPr>
        <w:t>0</w:t>
      </w:r>
      <w:r>
        <w:rPr>
          <w:rFonts w:hint="default" w:ascii="Times New Roman" w:hAnsi="Times New Roman" w:eastAsia="楷体_GB2312" w:cs="Times New Roman"/>
          <w:b/>
          <w:bCs/>
          <w:sz w:val="32"/>
          <w:szCs w:val="32"/>
          <w:highlight w:val="none"/>
        </w:rPr>
        <w:t>万元</w:t>
      </w:r>
      <w:r>
        <w:rPr>
          <w:rFonts w:hint="default" w:ascii="Times New Roman" w:hAnsi="Times New Roman" w:eastAsia="仿宋_GB2312" w:cs="Times New Roman"/>
          <w:b/>
          <w:sz w:val="32"/>
          <w:szCs w:val="32"/>
          <w:highlight w:val="none"/>
        </w:rPr>
        <w:t>：</w:t>
      </w: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单位2025</w:t>
      </w:r>
      <w:r>
        <w:rPr>
          <w:rFonts w:hint="default" w:ascii="Times New Roman" w:hAnsi="Times New Roman" w:eastAsia="仿宋_GB2312" w:cs="Times New Roman"/>
          <w:sz w:val="32"/>
          <w:szCs w:val="32"/>
          <w:highlight w:val="none"/>
        </w:rPr>
        <w:t>年度单位财政开支公务用车保有量</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辆。公车运行维护费支出较预算</w:t>
      </w:r>
      <w:r>
        <w:rPr>
          <w:rFonts w:hint="default" w:ascii="Times New Roman" w:hAnsi="Times New Roman" w:eastAsia="仿宋_GB2312" w:cs="Times New Roman"/>
          <w:sz w:val="32"/>
          <w:szCs w:val="32"/>
          <w:highlight w:val="none"/>
          <w:lang w:eastAsia="zh-CN"/>
        </w:rPr>
        <w:t>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本年度我单位未</w:t>
      </w:r>
      <w:r>
        <w:rPr>
          <w:rFonts w:hint="default" w:ascii="Times New Roman" w:hAnsi="Times New Roman" w:eastAsia="仿宋_GB2312" w:cs="Times New Roman"/>
          <w:sz w:val="32"/>
          <w:szCs w:val="32"/>
          <w:highlight w:val="none"/>
        </w:rPr>
        <w:t>安排财政拨款公务用车运行维护费支出预算</w:t>
      </w:r>
      <w:r>
        <w:rPr>
          <w:rFonts w:hint="default" w:ascii="Times New Roman" w:hAnsi="Times New Roman" w:eastAsia="仿宋_GB2312" w:cs="Times New Roman"/>
          <w:kern w:val="2"/>
          <w:sz w:val="32"/>
          <w:szCs w:val="32"/>
          <w:highlight w:val="none"/>
          <w:lang w:val="zh-CN"/>
        </w:rPr>
        <w:t>，因此，未发生此类支出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与</w:t>
      </w:r>
      <w:r>
        <w:rPr>
          <w:rFonts w:hint="default" w:ascii="Times New Roman" w:hAnsi="Times New Roman" w:eastAsia="仿宋_GB2312" w:cs="Times New Roman"/>
          <w:color w:val="000000"/>
          <w:sz w:val="32"/>
          <w:szCs w:val="32"/>
          <w:highlight w:val="none"/>
          <w:lang w:eastAsia="zh-CN"/>
        </w:rPr>
        <w:t>2024</w:t>
      </w:r>
      <w:r>
        <w:rPr>
          <w:rFonts w:hint="default" w:ascii="Times New Roman" w:hAnsi="Times New Roman" w:eastAsia="仿宋_GB2312" w:cs="Times New Roman"/>
          <w:color w:val="000000"/>
          <w:sz w:val="32"/>
          <w:szCs w:val="32"/>
          <w:highlight w:val="none"/>
        </w:rPr>
        <w:t>年度决算支出持平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本年度与上年度我单位均未</w:t>
      </w:r>
      <w:r>
        <w:rPr>
          <w:rFonts w:hint="default" w:ascii="Times New Roman" w:hAnsi="Times New Roman" w:eastAsia="仿宋_GB2312" w:cs="Times New Roman"/>
          <w:sz w:val="32"/>
          <w:szCs w:val="32"/>
          <w:highlight w:val="none"/>
        </w:rPr>
        <w:t>安排财政拨款公务用车运行维护费支出预算</w:t>
      </w:r>
      <w:r>
        <w:rPr>
          <w:rFonts w:hint="default" w:ascii="Times New Roman" w:hAnsi="Times New Roman" w:eastAsia="仿宋_GB2312" w:cs="Times New Roman"/>
          <w:sz w:val="32"/>
          <w:szCs w:val="32"/>
          <w:highlight w:val="none"/>
          <w:lang w:eastAsia="zh-CN"/>
        </w:rPr>
        <w:t>，因此，此类决算与上年度持平</w:t>
      </w:r>
      <w:r>
        <w:rPr>
          <w:rFonts w:hint="default" w:ascii="Times New Roman" w:hAnsi="Times New Roman" w:eastAsia="仿宋_GB2312" w:cs="Times New Roman"/>
          <w:sz w:val="32"/>
          <w:szCs w:val="32"/>
          <w:highlight w:val="none"/>
        </w:rPr>
        <w:t>。</w:t>
      </w:r>
    </w:p>
    <w:p w14:paraId="5C345C6A">
      <w:pPr>
        <w:adjustRightInd w:val="0"/>
        <w:snapToGrid w:val="0"/>
        <w:spacing w:line="580" w:lineRule="exact"/>
        <w:ind w:firstLine="643" w:firstLineChars="20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b/>
          <w:bCs/>
          <w:sz w:val="32"/>
          <w:szCs w:val="32"/>
          <w:highlight w:val="none"/>
        </w:rPr>
        <w:t>3.公务接待费支出情况。</w:t>
      </w: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单位2025</w:t>
      </w:r>
      <w:r>
        <w:rPr>
          <w:rFonts w:hint="default" w:ascii="Times New Roman" w:hAnsi="Times New Roman" w:eastAsia="仿宋_GB2312" w:cs="Times New Roman"/>
          <w:sz w:val="32"/>
          <w:szCs w:val="32"/>
          <w:highlight w:val="none"/>
        </w:rPr>
        <w:t>年度公务接待费支出预算为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万元，支出决算</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万元，完成预算的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%。公务接待费支出较预算</w:t>
      </w:r>
      <w:r>
        <w:rPr>
          <w:rFonts w:hint="default" w:ascii="Times New Roman" w:hAnsi="Times New Roman" w:eastAsia="仿宋_GB2312" w:cs="Times New Roman"/>
          <w:sz w:val="32"/>
          <w:szCs w:val="32"/>
          <w:highlight w:val="none"/>
          <w:lang w:eastAsia="zh-CN"/>
        </w:rPr>
        <w:t>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本年度我单位未</w:t>
      </w:r>
      <w:r>
        <w:rPr>
          <w:rFonts w:hint="default" w:ascii="Times New Roman" w:hAnsi="Times New Roman" w:eastAsia="仿宋_GB2312" w:cs="Times New Roman"/>
          <w:sz w:val="32"/>
          <w:szCs w:val="32"/>
          <w:highlight w:val="none"/>
        </w:rPr>
        <w:t>安排财政拨款公务接待费支出预算</w:t>
      </w:r>
      <w:r>
        <w:rPr>
          <w:rFonts w:hint="default" w:ascii="Times New Roman" w:hAnsi="Times New Roman" w:eastAsia="仿宋_GB2312" w:cs="Times New Roman"/>
          <w:kern w:val="2"/>
          <w:sz w:val="32"/>
          <w:szCs w:val="32"/>
          <w:highlight w:val="none"/>
          <w:lang w:val="zh-CN"/>
        </w:rPr>
        <w:t>，因此，未发生此类支出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与</w:t>
      </w:r>
      <w:r>
        <w:rPr>
          <w:rFonts w:hint="default" w:ascii="Times New Roman" w:hAnsi="Times New Roman" w:eastAsia="仿宋_GB2312" w:cs="Times New Roman"/>
          <w:color w:val="000000"/>
          <w:sz w:val="32"/>
          <w:szCs w:val="32"/>
          <w:highlight w:val="none"/>
          <w:lang w:eastAsia="zh-CN"/>
        </w:rPr>
        <w:t>2024</w:t>
      </w:r>
      <w:r>
        <w:rPr>
          <w:rFonts w:hint="default" w:ascii="Times New Roman" w:hAnsi="Times New Roman" w:eastAsia="仿宋_GB2312" w:cs="Times New Roman"/>
          <w:color w:val="000000"/>
          <w:sz w:val="32"/>
          <w:szCs w:val="32"/>
          <w:highlight w:val="none"/>
        </w:rPr>
        <w:t>年度决算支出持平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sz w:val="32"/>
          <w:szCs w:val="32"/>
          <w:highlight w:val="none"/>
          <w:lang w:eastAsia="zh-CN"/>
        </w:rPr>
        <w:t>本年度与上年度我单位均未</w:t>
      </w:r>
      <w:r>
        <w:rPr>
          <w:rFonts w:hint="default" w:ascii="Times New Roman" w:hAnsi="Times New Roman" w:eastAsia="仿宋_GB2312" w:cs="Times New Roman"/>
          <w:sz w:val="32"/>
          <w:szCs w:val="32"/>
          <w:highlight w:val="none"/>
        </w:rPr>
        <w:t>安排财政拨款公务接待费支出预算</w:t>
      </w:r>
      <w:r>
        <w:rPr>
          <w:rFonts w:hint="default" w:ascii="Times New Roman" w:hAnsi="Times New Roman" w:eastAsia="仿宋_GB2312" w:cs="Times New Roman"/>
          <w:sz w:val="32"/>
          <w:szCs w:val="32"/>
          <w:highlight w:val="none"/>
          <w:lang w:eastAsia="zh-CN"/>
        </w:rPr>
        <w:t>，因此，此类决算与上年度持平</w:t>
      </w:r>
      <w:r>
        <w:rPr>
          <w:rFonts w:hint="default" w:ascii="Times New Roman" w:hAnsi="Times New Roman" w:eastAsia="仿宋_GB2312" w:cs="Times New Roman"/>
          <w:sz w:val="32"/>
          <w:szCs w:val="32"/>
          <w:highlight w:val="none"/>
        </w:rPr>
        <w:t>。本年度共发生公务接待</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批次、</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人次。</w:t>
      </w:r>
    </w:p>
    <w:p w14:paraId="08CD9090">
      <w:pPr>
        <w:adjustRightInd w:val="0"/>
        <w:snapToGrid w:val="0"/>
        <w:spacing w:line="580" w:lineRule="exact"/>
        <w:ind w:left="420" w:leftChars="200" w:firstLine="320" w:firstLineChars="1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六、机关运行经费支出说明</w:t>
      </w:r>
    </w:p>
    <w:p w14:paraId="1A8D63AC">
      <w:pPr>
        <w:adjustRightInd w:val="0"/>
        <w:snapToGrid w:val="0"/>
        <w:spacing w:line="580" w:lineRule="exact"/>
        <w:ind w:firstLine="640" w:firstLineChars="20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年度机关运行经费支出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万元，较202</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年度</w:t>
      </w:r>
      <w:r>
        <w:rPr>
          <w:rFonts w:hint="default" w:ascii="Times New Roman" w:hAnsi="Times New Roman" w:eastAsia="仿宋_GB2312" w:cs="Times New Roman"/>
          <w:sz w:val="32"/>
          <w:szCs w:val="32"/>
          <w:highlight w:val="none"/>
          <w:lang w:eastAsia="zh-CN"/>
        </w:rPr>
        <w:t>持平</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kern w:val="2"/>
          <w:sz w:val="32"/>
          <w:szCs w:val="32"/>
          <w:highlight w:val="none"/>
          <w:lang w:val="zh-CN"/>
        </w:rPr>
        <w:t>本单位不属于行政单位和参照公务员法管理事业单位，因此，不涉及机关运行经费支出。</w:t>
      </w:r>
    </w:p>
    <w:p w14:paraId="2A74DF8D">
      <w:pPr>
        <w:adjustRightInd w:val="0"/>
        <w:snapToGrid w:val="0"/>
        <w:spacing w:line="580" w:lineRule="exact"/>
        <w:ind w:firstLine="640" w:firstLineChars="200"/>
        <w:rPr>
          <w:rFonts w:hint="default" w:ascii="Times New Roman" w:hAnsi="Times New Roman" w:eastAsia="仿宋_GB2312" w:cs="Times New Roman"/>
          <w:sz w:val="32"/>
          <w:szCs w:val="32"/>
          <w:highlight w:val="yellow"/>
        </w:rPr>
      </w:pPr>
      <w:r>
        <w:rPr>
          <w:rFonts w:hint="default" w:ascii="Times New Roman" w:hAnsi="Times New Roman" w:eastAsia="黑体" w:cs="Times New Roman"/>
          <w:sz w:val="32"/>
          <w:szCs w:val="32"/>
        </w:rPr>
        <w:t>七、政府采购支出说明</w:t>
      </w:r>
    </w:p>
    <w:p w14:paraId="55EAA948">
      <w:pPr>
        <w:snapToGrid w:val="0"/>
        <w:spacing w:line="580" w:lineRule="exact"/>
        <w:ind w:firstLine="640" w:firstLineChars="200"/>
        <w:jc w:val="left"/>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2025年度政府采购支出总额</w:t>
      </w:r>
      <w:r>
        <w:rPr>
          <w:rFonts w:ascii="Times New Roman" w:eastAsia="仿宋_GB2312"/>
          <w:b w:val="0"/>
          <w:sz w:val="32"/>
          <w:szCs w:val="32"/>
        </w:rPr>
        <w:t>715.41</w:t>
      </w:r>
      <w:r>
        <w:rPr>
          <w:rFonts w:hint="default" w:ascii="Times New Roman" w:hAnsi="Times New Roman" w:eastAsia="仿宋_GB2312" w:cs="Times New Roman"/>
          <w:sz w:val="32"/>
          <w:szCs w:val="32"/>
        </w:rPr>
        <w:t>万元，从采购类型来看，</w:t>
      </w:r>
      <w:r>
        <w:rPr>
          <w:rFonts w:hint="default" w:ascii="Times New Roman" w:hAnsi="Times New Roman" w:eastAsia="仿宋_GB2312" w:cs="Times New Roman"/>
          <w:color w:val="000000"/>
          <w:kern w:val="0"/>
          <w:sz w:val="32"/>
          <w:szCs w:val="32"/>
          <w:lang w:bidi="ar"/>
        </w:rPr>
        <w:t>政府采购货物支出</w:t>
      </w:r>
      <w:r>
        <w:rPr>
          <w:rFonts w:ascii="Times New Roman" w:eastAsia="仿宋_GB2312"/>
          <w:b w:val="0"/>
          <w:sz w:val="32"/>
          <w:szCs w:val="32"/>
        </w:rPr>
        <w:t>460.6</w:t>
      </w:r>
      <w:r>
        <w:rPr>
          <w:rFonts w:hint="default" w:ascii="Times New Roman" w:hAnsi="Times New Roman" w:eastAsia="仿宋_GB2312" w:cs="Times New Roman"/>
          <w:color w:val="000000"/>
          <w:kern w:val="0"/>
          <w:sz w:val="32"/>
          <w:szCs w:val="32"/>
          <w:lang w:bidi="ar"/>
        </w:rPr>
        <w:t>万元、政府采购工程支出</w:t>
      </w:r>
      <w:r>
        <w:rPr>
          <w:rFonts w:ascii="Times New Roman" w:eastAsia="仿宋_GB2312"/>
          <w:b w:val="0"/>
          <w:sz w:val="32"/>
          <w:szCs w:val="32"/>
        </w:rPr>
        <w:t>199.27</w:t>
      </w:r>
      <w:r>
        <w:rPr>
          <w:rFonts w:hint="default" w:ascii="Times New Roman" w:hAnsi="Times New Roman" w:eastAsia="仿宋_GB2312" w:cs="Times New Roman"/>
          <w:color w:val="000000"/>
          <w:kern w:val="0"/>
          <w:sz w:val="32"/>
          <w:szCs w:val="32"/>
          <w:lang w:bidi="ar"/>
        </w:rPr>
        <w:t>万元、政府采购服务支出</w:t>
      </w:r>
      <w:r>
        <w:rPr>
          <w:rFonts w:ascii="Times New Roman" w:eastAsia="仿宋_GB2312"/>
          <w:b w:val="0"/>
          <w:sz w:val="32"/>
          <w:szCs w:val="32"/>
        </w:rPr>
        <w:t>55.54</w:t>
      </w:r>
      <w:r>
        <w:rPr>
          <w:rFonts w:hint="default" w:ascii="Times New Roman" w:hAnsi="Times New Roman" w:eastAsia="仿宋_GB2312" w:cs="Times New Roman"/>
          <w:color w:val="000000"/>
          <w:kern w:val="0"/>
          <w:sz w:val="32"/>
          <w:szCs w:val="32"/>
          <w:lang w:bidi="ar"/>
        </w:rPr>
        <w:t>万元。授予中小企业合同金额</w:t>
      </w:r>
      <w:r>
        <w:rPr>
          <w:rFonts w:ascii="Times New Roman" w:eastAsia="仿宋_GB2312"/>
          <w:b w:val="0"/>
          <w:sz w:val="32"/>
          <w:szCs w:val="32"/>
        </w:rPr>
        <w:t>567.61</w:t>
      </w:r>
      <w:r>
        <w:rPr>
          <w:rFonts w:hint="default" w:ascii="Times New Roman" w:hAnsi="Times New Roman" w:eastAsia="仿宋_GB2312" w:cs="Times New Roman"/>
          <w:color w:val="000000"/>
          <w:kern w:val="0"/>
          <w:sz w:val="32"/>
          <w:szCs w:val="32"/>
          <w:lang w:bidi="ar"/>
        </w:rPr>
        <w:t>万元，占政府采购支出总额的</w:t>
      </w:r>
      <w:r>
        <w:rPr>
          <w:rFonts w:ascii="Times New Roman" w:eastAsia="仿宋_GB2312"/>
          <w:b w:val="0"/>
          <w:sz w:val="32"/>
          <w:szCs w:val="32"/>
        </w:rPr>
        <w:t>79.3</w:t>
      </w:r>
      <w:r>
        <w:rPr>
          <w:rFonts w:hint="default" w:ascii="Times New Roman" w:hAnsi="Times New Roman" w:eastAsia="仿宋_GB2312" w:cs="Times New Roman"/>
          <w:color w:val="000000"/>
          <w:kern w:val="0"/>
          <w:sz w:val="32"/>
          <w:szCs w:val="32"/>
          <w:lang w:bidi="ar"/>
        </w:rPr>
        <w:t>%，其中授予小微企业合同金额</w:t>
      </w:r>
      <w:r>
        <w:rPr>
          <w:rFonts w:ascii="Times New Roman" w:eastAsia="仿宋_GB2312"/>
          <w:b w:val="0"/>
          <w:sz w:val="32"/>
          <w:szCs w:val="32"/>
        </w:rPr>
        <w:t>501.21</w:t>
      </w:r>
      <w:r>
        <w:rPr>
          <w:rFonts w:hint="default" w:ascii="Times New Roman" w:hAnsi="Times New Roman" w:eastAsia="仿宋_GB2312" w:cs="Times New Roman"/>
          <w:color w:val="000000"/>
          <w:kern w:val="0"/>
          <w:sz w:val="32"/>
          <w:szCs w:val="32"/>
          <w:lang w:bidi="ar"/>
        </w:rPr>
        <w:t>万元，占政府采购支出总额的</w:t>
      </w:r>
      <w:r>
        <w:rPr>
          <w:rFonts w:ascii="Times New Roman" w:eastAsia="仿宋_GB2312"/>
          <w:b w:val="0"/>
          <w:sz w:val="32"/>
          <w:szCs w:val="32"/>
        </w:rPr>
        <w:t>70.1%</w:t>
      </w:r>
      <w:r>
        <w:rPr>
          <w:rFonts w:hint="default" w:ascii="Times New Roman" w:hAnsi="Times New Roman" w:eastAsia="仿宋_GB2312" w:cs="Times New Roman"/>
          <w:color w:val="000000"/>
          <w:kern w:val="0"/>
          <w:sz w:val="32"/>
          <w:szCs w:val="32"/>
          <w:lang w:bidi="ar"/>
        </w:rPr>
        <w:t>。</w:t>
      </w:r>
    </w:p>
    <w:p w14:paraId="1C3385A5">
      <w:pPr>
        <w:snapToGrid w:val="0"/>
        <w:spacing w:line="580" w:lineRule="exact"/>
        <w:ind w:firstLine="640" w:firstLineChars="200"/>
        <w:jc w:val="left"/>
        <w:rPr>
          <w:rFonts w:hint="default" w:ascii="Times New Roman" w:hAnsi="Times New Roman" w:eastAsia="仿宋_GB2312" w:cs="Times New Roman"/>
          <w:sz w:val="32"/>
          <w:szCs w:val="32"/>
          <w:highlight w:val="yellow"/>
        </w:rPr>
      </w:pPr>
      <w:r>
        <w:rPr>
          <w:rFonts w:hint="default" w:ascii="Times New Roman" w:hAnsi="Times New Roman" w:eastAsia="黑体" w:cs="Times New Roman"/>
          <w:sz w:val="32"/>
          <w:szCs w:val="32"/>
        </w:rPr>
        <w:t>八、国有资产占用情况说明</w:t>
      </w:r>
    </w:p>
    <w:p w14:paraId="75D451FF">
      <w:pPr>
        <w:adjustRightInd w:val="0"/>
        <w:snapToGrid w:val="0"/>
        <w:spacing w:line="580" w:lineRule="exact"/>
        <w:ind w:firstLine="640" w:firstLineChars="200"/>
        <w:rPr>
          <w:rFonts w:hint="default" w:ascii="Times New Roman" w:hAnsi="Times New Roman" w:eastAsia="黑体" w:cs="Times New Roman"/>
          <w:sz w:val="32"/>
          <w:szCs w:val="40"/>
          <w:highlight w:val="yellow"/>
        </w:rPr>
      </w:pPr>
      <w:r>
        <w:rPr>
          <w:rFonts w:hint="default" w:ascii="Times New Roman" w:hAnsi="Times New Roman" w:eastAsia="仿宋_GB2312" w:cs="Times New Roman"/>
          <w:sz w:val="32"/>
          <w:szCs w:val="32"/>
        </w:rPr>
        <w:t>截至2025年12月31日，本单位共有车辆0辆，主要是本单位自2025年起预决算纳入河北省卫生健康委员会，决算系统、资产系统暂无2024年度、2025年度相关资产信息。其中，副部（省）级及以上领导用车0辆，主要负责人用车0辆，机要通信用车0辆，应急保障用车0辆，执法执勤用车0辆，特种专业技术用车0辆，离退休干部用车0辆，其他用车0辆。单位价值100万元（含）以上设备（不含车辆）0台（套）。</w:t>
      </w:r>
    </w:p>
    <w:p w14:paraId="457FB018">
      <w:pPr>
        <w:widowControl/>
        <w:spacing w:after="160" w:line="580" w:lineRule="exact"/>
        <w:ind w:firstLine="640" w:firstLineChars="200"/>
        <w:rPr>
          <w:rFonts w:hint="default" w:ascii="Times New Roman" w:hAnsi="Times New Roman" w:eastAsia="黑体" w:cs="Times New Roman"/>
          <w:sz w:val="32"/>
          <w:szCs w:val="40"/>
        </w:rPr>
      </w:pPr>
      <w:r>
        <w:rPr>
          <w:rFonts w:hint="default" w:ascii="Times New Roman" w:hAnsi="Times New Roman" w:eastAsia="黑体" w:cs="Times New Roman"/>
          <w:sz w:val="32"/>
          <w:szCs w:val="40"/>
        </w:rPr>
        <w:t>九、关于2025年度绩效评价情况的说明</w:t>
      </w:r>
    </w:p>
    <w:p w14:paraId="1742FDDF">
      <w:pPr>
        <w:adjustRightInd w:val="0"/>
        <w:snapToGrid w:val="0"/>
        <w:spacing w:line="58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（一）绩效评价工作开展情况</w:t>
      </w:r>
    </w:p>
    <w:p w14:paraId="641A3909">
      <w:pPr>
        <w:adjustRightInd w:val="0"/>
        <w:snapToGrid w:val="0"/>
        <w:spacing w:line="580" w:lineRule="exact"/>
        <w:ind w:firstLine="640" w:firstLineChars="200"/>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根据预算绩效管理要求，本单位组织对2025年度本级预算项目支出全面开展绩效自评，共涉及资金</w:t>
      </w:r>
      <w:r>
        <w:rPr>
          <w:rFonts w:hint="eastAsia" w:ascii="Times New Roman" w:hAnsi="Times New Roman" w:eastAsia="仿宋_GB2312" w:cs="Times New Roman"/>
          <w:sz w:val="32"/>
          <w:szCs w:val="32"/>
          <w:lang w:val="en-US" w:eastAsia="zh-CN"/>
        </w:rPr>
        <w:t>8745.57</w:t>
      </w:r>
      <w:r>
        <w:rPr>
          <w:rFonts w:hint="default" w:ascii="Times New Roman" w:hAnsi="Times New Roman" w:eastAsia="仿宋_GB2312" w:cs="Times New Roman"/>
          <w:sz w:val="32"/>
          <w:szCs w:val="32"/>
          <w:lang w:val="zh-CN" w:eastAsia="zh-CN"/>
        </w:rPr>
        <w:t>万元。其中，一般公共预算财政拨款项目</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zh-CN" w:eastAsia="zh-CN"/>
        </w:rPr>
        <w:t>个，涉及资金</w:t>
      </w:r>
      <w:r>
        <w:rPr>
          <w:rFonts w:hint="eastAsia" w:ascii="Times New Roman" w:hAnsi="Times New Roman" w:eastAsia="仿宋_GB2312" w:cs="Times New Roman"/>
          <w:sz w:val="32"/>
          <w:szCs w:val="32"/>
          <w:lang w:val="en-US" w:eastAsia="zh-CN"/>
        </w:rPr>
        <w:t>1028.15</w:t>
      </w:r>
      <w:r>
        <w:rPr>
          <w:rFonts w:hint="default" w:ascii="Times New Roman" w:hAnsi="Times New Roman" w:eastAsia="仿宋_GB2312" w:cs="Times New Roman"/>
          <w:sz w:val="32"/>
          <w:szCs w:val="32"/>
          <w:lang w:val="zh-CN" w:eastAsia="zh-CN"/>
        </w:rPr>
        <w:t>万元，占一般公共预算财政拨款项目支出总额的100%；政府性基金预算财政拨款项目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zh-CN" w:eastAsia="zh-CN"/>
        </w:rPr>
        <w:t>个，涉及资金</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zh-CN" w:eastAsia="zh-CN"/>
        </w:rPr>
        <w:t>万元，占政府性基金预算财政拨款项目支出总额的100%；国有资本经营预算财政拨款项目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zh-CN" w:eastAsia="zh-CN"/>
        </w:rPr>
        <w:t>个，涉及资金</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zh-CN" w:eastAsia="zh-CN"/>
        </w:rPr>
        <w:t>万元，占国有资本经营预算项目支出总额的100%。</w:t>
      </w:r>
    </w:p>
    <w:p w14:paraId="384C694D">
      <w:pPr>
        <w:adjustRightInd w:val="0"/>
        <w:snapToGrid w:val="0"/>
        <w:spacing w:line="580" w:lineRule="exact"/>
        <w:ind w:left="420" w:leftChars="200" w:firstLine="321" w:firstLineChars="1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w:t>
      </w:r>
      <w:r>
        <w:rPr>
          <w:rFonts w:hint="default" w:ascii="Times New Roman" w:hAnsi="Times New Roman" w:eastAsia="仿宋_GB2312" w:cs="Times New Roman"/>
          <w:b/>
          <w:bCs/>
          <w:sz w:val="32"/>
          <w:szCs w:val="32"/>
          <w:lang w:eastAsia="zh-CN"/>
        </w:rPr>
        <w:t>单位</w:t>
      </w:r>
      <w:r>
        <w:rPr>
          <w:rFonts w:hint="default" w:ascii="Times New Roman" w:hAnsi="Times New Roman" w:eastAsia="仿宋_GB2312" w:cs="Times New Roman"/>
          <w:b/>
          <w:bCs/>
          <w:sz w:val="32"/>
          <w:szCs w:val="32"/>
        </w:rPr>
        <w:t>决算中项目绩效自评结果</w:t>
      </w:r>
    </w:p>
    <w:p w14:paraId="7F0F4E79">
      <w:pPr>
        <w:adjustRightInd w:val="0"/>
        <w:snapToGrid w:val="0"/>
        <w:spacing w:line="580" w:lineRule="exact"/>
        <w:ind w:firstLine="640" w:firstLineChars="200"/>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在今年</w:t>
      </w:r>
      <w:r>
        <w:rPr>
          <w:rFonts w:hint="default"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决算公开中反映</w:t>
      </w:r>
      <w:r>
        <w:rPr>
          <w:rFonts w:hint="eastAsia" w:ascii="Times New Roman" w:hAnsi="Times New Roman" w:eastAsia="仿宋_GB2312" w:cs="Times New Roman"/>
          <w:sz w:val="32"/>
          <w:szCs w:val="32"/>
          <w:lang w:val="en-US" w:eastAsia="zh-CN"/>
        </w:rPr>
        <w:t>中央下达2025年中医药传承创新发展示范</w:t>
      </w:r>
      <w:r>
        <w:rPr>
          <w:rFonts w:hint="default" w:ascii="Times New Roman" w:hAnsi="Times New Roman" w:eastAsia="仿宋_GB2312" w:cs="Times New Roman"/>
          <w:sz w:val="32"/>
          <w:szCs w:val="32"/>
        </w:rPr>
        <w:t>项目及</w:t>
      </w:r>
      <w:r>
        <w:rPr>
          <w:rFonts w:hint="eastAsia" w:ascii="Times New Roman" w:hAnsi="Times New Roman" w:eastAsia="仿宋_GB2312" w:cs="Times New Roman"/>
          <w:sz w:val="32"/>
          <w:szCs w:val="32"/>
          <w:lang w:val="en-US" w:eastAsia="zh-CN"/>
        </w:rPr>
        <w:t>医疗机构能力提升补助资金</w:t>
      </w:r>
      <w:r>
        <w:rPr>
          <w:rFonts w:hint="default" w:ascii="Times New Roman" w:hAnsi="Times New Roman" w:eastAsia="仿宋_GB2312" w:cs="Times New Roman"/>
          <w:sz w:val="32"/>
          <w:szCs w:val="32"/>
        </w:rPr>
        <w:t>项目等</w:t>
      </w:r>
      <w:r>
        <w:rPr>
          <w:rFonts w:hint="eastAsia"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个项目绩效自评结果。</w:t>
      </w:r>
    </w:p>
    <w:p w14:paraId="621FC615">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中央下达2025年中医药传承创新发展示范</w:t>
      </w:r>
      <w:r>
        <w:rPr>
          <w:rFonts w:hint="default" w:ascii="Times New Roman" w:hAnsi="Times New Roman" w:eastAsia="仿宋_GB2312" w:cs="Times New Roman"/>
          <w:sz w:val="32"/>
          <w:szCs w:val="32"/>
        </w:rPr>
        <w:t>项目绩效自评情况：根据年初设定的绩效目标，</w:t>
      </w:r>
      <w:r>
        <w:rPr>
          <w:rFonts w:hint="eastAsia" w:ascii="Times New Roman" w:hAnsi="Times New Roman" w:eastAsia="仿宋_GB2312" w:cs="Times New Roman"/>
          <w:sz w:val="32"/>
          <w:szCs w:val="32"/>
          <w:lang w:val="en-US" w:eastAsia="zh-CN"/>
        </w:rPr>
        <w:t>中央下达2025年中医药传承创新发展示范</w:t>
      </w:r>
      <w:r>
        <w:rPr>
          <w:rFonts w:hint="default" w:ascii="Times New Roman" w:hAnsi="Times New Roman" w:eastAsia="仿宋_GB2312" w:cs="Times New Roman"/>
          <w:sz w:val="32"/>
          <w:szCs w:val="32"/>
        </w:rPr>
        <w:t>项目绩效自评得分为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200</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200</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%。项目绩效目标完成情况：一是引进了先进医疗设备，驱动了诊疗技术升级</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二是全面提升了患者就医体验与临床救治水平，让诊疗更精准高效。通过项目实施，完成了年初设定的各项绩效目标，未发现问题</w:t>
      </w:r>
      <w:r>
        <w:rPr>
          <w:rFonts w:hint="eastAsia" w:ascii="Times New Roman" w:hAnsi="Times New Roman" w:eastAsia="仿宋_GB2312" w:cs="Times New Roman"/>
          <w:sz w:val="32"/>
          <w:szCs w:val="32"/>
          <w:lang w:eastAsia="zh-CN"/>
        </w:rPr>
        <w:t>。</w:t>
      </w:r>
    </w:p>
    <w:p w14:paraId="42839CA8">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kern w:val="2"/>
          <w:sz w:val="32"/>
          <w:szCs w:val="32"/>
          <w:lang w:val="en-US" w:eastAsia="zh-CN" w:bidi="ar-SA"/>
        </w:rPr>
        <w:t>医疗机构能力提升补助资金</w:t>
      </w:r>
      <w:r>
        <w:rPr>
          <w:rFonts w:hint="default" w:ascii="Times New Roman" w:hAnsi="Times New Roman" w:eastAsia="仿宋_GB2312" w:cs="Times New Roman"/>
          <w:sz w:val="32"/>
          <w:szCs w:val="32"/>
        </w:rPr>
        <w:t>项目绩效自评情况：根据年初设定的绩效目标，</w:t>
      </w:r>
      <w:r>
        <w:rPr>
          <w:rFonts w:hint="eastAsia" w:ascii="Times New Roman" w:hAnsi="Times New Roman" w:eastAsia="仿宋_GB2312" w:cs="Times New Roman"/>
          <w:sz w:val="32"/>
          <w:szCs w:val="32"/>
          <w:lang w:val="en-US" w:eastAsia="zh-CN"/>
        </w:rPr>
        <w:t>医疗机构能力提升补助资金</w:t>
      </w:r>
      <w:r>
        <w:rPr>
          <w:rFonts w:hint="default" w:ascii="Times New Roman" w:hAnsi="Times New Roman" w:eastAsia="仿宋_GB2312" w:cs="Times New Roman"/>
          <w:sz w:val="32"/>
          <w:szCs w:val="32"/>
        </w:rPr>
        <w:t>项目绩效自评得分为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350</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349.99</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目标完成情况：一是增加了第二条电路专线，保障了医院日益增长的用电需求，避免了停电对医院正常运转和患者安全构成的潜在威胁；二是购置了医疗设备，提高工作效率，改善了就诊患者的就医体验。通过项目实施，完成了年初设定的各项绩效目标，未发现问题</w:t>
      </w:r>
      <w:r>
        <w:rPr>
          <w:rFonts w:hint="eastAsia" w:ascii="Times New Roman" w:hAnsi="Times New Roman" w:eastAsia="仿宋_GB2312" w:cs="Times New Roman"/>
          <w:sz w:val="32"/>
          <w:szCs w:val="32"/>
          <w:lang w:eastAsia="zh-CN"/>
        </w:rPr>
        <w:t>。</w:t>
      </w:r>
    </w:p>
    <w:p w14:paraId="198D514D">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中央提前下达2025年中医药事业传承与发展补助资金（重大疑难疾病中西医临床协作及中医治疗优势病种项目）</w:t>
      </w:r>
      <w:r>
        <w:rPr>
          <w:rFonts w:hint="default" w:ascii="Times New Roman" w:hAnsi="Times New Roman" w:eastAsia="仿宋_GB2312" w:cs="Times New Roman"/>
          <w:sz w:val="32"/>
          <w:szCs w:val="32"/>
        </w:rPr>
        <w:t>绩效自评情况：根据年初设定的绩效目标，</w:t>
      </w:r>
      <w:r>
        <w:rPr>
          <w:rFonts w:hint="eastAsia" w:ascii="Times New Roman" w:hAnsi="Times New Roman" w:eastAsia="仿宋_GB2312" w:cs="Times New Roman"/>
          <w:sz w:val="32"/>
          <w:szCs w:val="32"/>
          <w:lang w:val="en-US" w:eastAsia="zh-CN"/>
        </w:rPr>
        <w:t>重大疑难疾病中西医临床协作及中医治疗优势病种项目</w:t>
      </w:r>
      <w:r>
        <w:rPr>
          <w:rFonts w:hint="default" w:ascii="Times New Roman" w:hAnsi="Times New Roman" w:eastAsia="仿宋_GB2312" w:cs="Times New Roman"/>
          <w:sz w:val="32"/>
          <w:szCs w:val="32"/>
        </w:rPr>
        <w:t>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80</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78.6</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98.25</w:t>
      </w:r>
      <w:r>
        <w:rPr>
          <w:rFonts w:hint="default" w:ascii="Times New Roman" w:hAnsi="Times New Roman" w:eastAsia="仿宋_GB2312" w:cs="Times New Roman"/>
          <w:sz w:val="32"/>
          <w:szCs w:val="32"/>
        </w:rPr>
        <w:t>%。项目绩效目标完成情况：一是购置了8台医疗仪器设备，提升了现有医疗设备水平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二是发挥了重大疑难疾病中西医临床协作项目优势，促进了中医治疗优势病种建设</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全面提升了医疗质量与患者满意度。通过项目实施，完成了年初设定的各项绩效目标，未发现问题</w:t>
      </w:r>
      <w:r>
        <w:rPr>
          <w:rFonts w:hint="eastAsia" w:ascii="Times New Roman" w:hAnsi="Times New Roman" w:eastAsia="仿宋_GB2312" w:cs="Times New Roman"/>
          <w:sz w:val="32"/>
          <w:szCs w:val="32"/>
          <w:lang w:eastAsia="zh-CN"/>
        </w:rPr>
        <w:t>。</w:t>
      </w:r>
    </w:p>
    <w:p w14:paraId="5737CA1E">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省级中医药事业传承与发展补助资金（代表性道地中药材可持续利用研究项目）</w:t>
      </w:r>
      <w:r>
        <w:rPr>
          <w:rFonts w:hint="default" w:ascii="Times New Roman" w:hAnsi="Times New Roman" w:eastAsia="仿宋_GB2312" w:cs="Times New Roman"/>
          <w:sz w:val="32"/>
          <w:szCs w:val="32"/>
        </w:rPr>
        <w:t>绩效自评情况：根据年初设定的绩效目标，</w:t>
      </w:r>
      <w:r>
        <w:rPr>
          <w:rFonts w:hint="default" w:ascii="Times New Roman" w:hAnsi="Times New Roman" w:eastAsia="仿宋_GB2312" w:cs="Times New Roman"/>
          <w:kern w:val="2"/>
          <w:sz w:val="32"/>
          <w:szCs w:val="32"/>
          <w:lang w:val="en-US" w:eastAsia="zh-CN" w:bidi="ar-SA"/>
        </w:rPr>
        <w:t>省级中医药事业传承与发展补助资金（代表性道地中药材可持续利用研究项目）</w:t>
      </w:r>
      <w:r>
        <w:rPr>
          <w:rFonts w:hint="default" w:ascii="Times New Roman" w:hAnsi="Times New Roman" w:eastAsia="仿宋_GB2312" w:cs="Times New Roman"/>
          <w:sz w:val="32"/>
          <w:szCs w:val="32"/>
        </w:rPr>
        <w:t>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200</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200</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%。项目绩效目标完成情况：一是道地药材生态种植技术示范推广面积达到100亩</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中药材经检测符合河北省中药材质量检测检验标准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w:t>
      </w:r>
      <w:r>
        <w:rPr>
          <w:rFonts w:hint="default" w:ascii="Times New Roman" w:hAnsi="Times New Roman" w:eastAsia="仿宋_GB2312" w:cs="Times New Roman"/>
          <w:sz w:val="32"/>
          <w:szCs w:val="32"/>
        </w:rPr>
        <w:t>出版著作1部，发表论文1篇，提高了河北省道地中药材水平。通过项目实施，完成了年初设定的各项绩效目标，未发现问题</w:t>
      </w:r>
      <w:r>
        <w:rPr>
          <w:rFonts w:hint="eastAsia" w:ascii="Times New Roman" w:hAnsi="Times New Roman" w:eastAsia="仿宋_GB2312" w:cs="Times New Roman"/>
          <w:sz w:val="32"/>
          <w:szCs w:val="32"/>
          <w:lang w:eastAsia="zh-CN"/>
        </w:rPr>
        <w:t>。</w:t>
      </w:r>
    </w:p>
    <w:p w14:paraId="620527F6">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中央提前下达2025年中医药事业传承与发展补助资金（京津冀中医药协同发展项目）</w:t>
      </w:r>
      <w:r>
        <w:rPr>
          <w:rFonts w:hint="default" w:ascii="Times New Roman" w:hAnsi="Times New Roman" w:eastAsia="仿宋_GB2312" w:cs="Times New Roman"/>
          <w:sz w:val="32"/>
          <w:szCs w:val="32"/>
        </w:rPr>
        <w:t>绩效自评情况：根据年初设定的绩效目标，</w:t>
      </w:r>
      <w:r>
        <w:rPr>
          <w:rFonts w:hint="eastAsia" w:ascii="Times New Roman" w:hAnsi="Times New Roman" w:eastAsia="仿宋_GB2312" w:cs="Times New Roman"/>
          <w:sz w:val="32"/>
          <w:szCs w:val="32"/>
          <w:lang w:val="en-US" w:eastAsia="zh-CN"/>
        </w:rPr>
        <w:t>中央提前下达2025年中医药事业传承与发展补助资金（京津冀中医药协同发展项目）</w:t>
      </w:r>
      <w:r>
        <w:rPr>
          <w:rFonts w:hint="default" w:ascii="Times New Roman" w:hAnsi="Times New Roman" w:eastAsia="仿宋_GB2312" w:cs="Times New Roman"/>
          <w:sz w:val="32"/>
          <w:szCs w:val="32"/>
        </w:rPr>
        <w:t>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%。项目绩效目标完成情况：一是发表学术论文2篇，进一步促进中医药事业传承与发展，完善京津冀协同发展战略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实现</w:t>
      </w:r>
      <w:r>
        <w:rPr>
          <w:rFonts w:hint="eastAsia"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皮肤病方向精准治疗</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提高专科的体系建设。通过项目实施，完成了年初设定的各项绩效目标，未发现问题</w:t>
      </w:r>
      <w:r>
        <w:rPr>
          <w:rFonts w:hint="eastAsia" w:ascii="Times New Roman" w:hAnsi="Times New Roman" w:eastAsia="仿宋_GB2312" w:cs="Times New Roman"/>
          <w:sz w:val="32"/>
          <w:szCs w:val="32"/>
          <w:lang w:eastAsia="zh-CN"/>
        </w:rPr>
        <w:t>。</w:t>
      </w:r>
    </w:p>
    <w:p w14:paraId="110B6213">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省级医疗机构能力提升</w:t>
      </w:r>
      <w:r>
        <w:rPr>
          <w:rFonts w:hint="default" w:ascii="Times New Roman" w:hAnsi="Times New Roman" w:eastAsia="仿宋_GB2312" w:cs="Times New Roman"/>
          <w:sz w:val="32"/>
          <w:szCs w:val="32"/>
        </w:rPr>
        <w:t>项目绩效自评情况：根据年初设定的绩效目标，</w:t>
      </w:r>
      <w:r>
        <w:rPr>
          <w:rFonts w:hint="eastAsia" w:ascii="Times New Roman" w:hAnsi="Times New Roman" w:eastAsia="仿宋_GB2312" w:cs="Times New Roman"/>
          <w:sz w:val="32"/>
          <w:szCs w:val="32"/>
          <w:lang w:val="en-US" w:eastAsia="zh-CN"/>
        </w:rPr>
        <w:t>省级医疗机构能力提升项目</w:t>
      </w:r>
      <w:r>
        <w:rPr>
          <w:rFonts w:hint="default" w:ascii="Times New Roman" w:hAnsi="Times New Roman" w:eastAsia="仿宋_GB2312" w:cs="Times New Roman"/>
          <w:sz w:val="32"/>
          <w:szCs w:val="32"/>
        </w:rPr>
        <w:t>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91</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89.6</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98.46</w:t>
      </w:r>
      <w:r>
        <w:rPr>
          <w:rFonts w:hint="default" w:ascii="Times New Roman" w:hAnsi="Times New Roman" w:eastAsia="仿宋_GB2312" w:cs="Times New Roman"/>
          <w:sz w:val="32"/>
          <w:szCs w:val="32"/>
        </w:rPr>
        <w:t>%。项目绩效目标完成情况：一是采购了4类医疗设备，提升了医疗设备先进水平</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改善了医院患者医疗就诊体验感，提高了医疗救治能力。通过项目实施，完成了年初设定的各项绩效目标，未发现问题</w:t>
      </w:r>
      <w:r>
        <w:rPr>
          <w:rFonts w:hint="eastAsia" w:ascii="Times New Roman" w:hAnsi="Times New Roman" w:eastAsia="仿宋_GB2312" w:cs="Times New Roman"/>
          <w:sz w:val="32"/>
          <w:szCs w:val="32"/>
          <w:lang w:eastAsia="zh-CN"/>
        </w:rPr>
        <w:t>。</w:t>
      </w:r>
    </w:p>
    <w:p w14:paraId="7E38A5C6">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省级中医药事业传承与发展补助资金（中医药科研项目）</w:t>
      </w:r>
      <w:r>
        <w:rPr>
          <w:rFonts w:hint="default" w:ascii="Times New Roman" w:hAnsi="Times New Roman" w:eastAsia="仿宋_GB2312" w:cs="Times New Roman"/>
          <w:sz w:val="32"/>
          <w:szCs w:val="32"/>
        </w:rPr>
        <w:t>绩效自评情况：根据年初设定的绩效目标，</w:t>
      </w:r>
      <w:r>
        <w:rPr>
          <w:rFonts w:hint="eastAsia" w:ascii="Times New Roman" w:hAnsi="Times New Roman" w:eastAsia="仿宋_GB2312" w:cs="Times New Roman"/>
          <w:sz w:val="32"/>
          <w:szCs w:val="32"/>
          <w:lang w:val="en-US" w:eastAsia="zh-CN"/>
        </w:rPr>
        <w:t>省级中医药事业传承与发展补助资金（中医药科研项目）</w:t>
      </w:r>
      <w:r>
        <w:rPr>
          <w:rFonts w:hint="default" w:ascii="Times New Roman" w:hAnsi="Times New Roman" w:eastAsia="仿宋_GB2312" w:cs="Times New Roman"/>
          <w:sz w:val="32"/>
          <w:szCs w:val="32"/>
        </w:rPr>
        <w:t>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20.5</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20.5</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%。项目绩效目标完成情况：一是通过深入挖掘名老专家学术思想，共发表论文2篇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研发创新有效的治疗皮肤病、脑病、脾胃病等药物，揭示特色制剂药效物质基础及量效关系，智能化和精准化指导诊疗。通过项目实施，完成了年初设定的各项绩效目标，未发现问题</w:t>
      </w:r>
      <w:r>
        <w:rPr>
          <w:rFonts w:hint="eastAsia" w:ascii="Times New Roman" w:hAnsi="Times New Roman" w:eastAsia="仿宋_GB2312" w:cs="Times New Roman"/>
          <w:sz w:val="32"/>
          <w:szCs w:val="32"/>
          <w:lang w:eastAsia="zh-CN"/>
        </w:rPr>
        <w:t>。</w:t>
      </w:r>
    </w:p>
    <w:p w14:paraId="232C4082">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kern w:val="2"/>
          <w:sz w:val="32"/>
          <w:szCs w:val="32"/>
          <w:lang w:val="en-US" w:eastAsia="zh-CN" w:bidi="ar-SA"/>
        </w:rPr>
        <w:t>联合基金项目</w:t>
      </w:r>
      <w:r>
        <w:rPr>
          <w:rFonts w:hint="default" w:ascii="Times New Roman" w:hAnsi="Times New Roman" w:eastAsia="仿宋_GB2312" w:cs="Times New Roman"/>
          <w:sz w:val="32"/>
          <w:szCs w:val="32"/>
        </w:rPr>
        <w:t>绩效自评情况：根据年初设定的绩效目标，</w:t>
      </w:r>
      <w:r>
        <w:rPr>
          <w:rFonts w:hint="eastAsia" w:ascii="Times New Roman" w:hAnsi="Times New Roman" w:eastAsia="仿宋_GB2312" w:cs="Times New Roman"/>
          <w:sz w:val="32"/>
          <w:szCs w:val="32"/>
          <w:lang w:val="en-US" w:eastAsia="zh-CN"/>
        </w:rPr>
        <w:t>联合基金项目</w:t>
      </w:r>
      <w:r>
        <w:rPr>
          <w:rFonts w:hint="default" w:ascii="Times New Roman" w:hAnsi="Times New Roman" w:eastAsia="仿宋_GB2312" w:cs="Times New Roman"/>
          <w:sz w:val="32"/>
          <w:szCs w:val="32"/>
        </w:rPr>
        <w:t>绩效自评得分为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分（绩效自评表附后）。全年预算数为</w:t>
      </w: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万元，执行数为</w:t>
      </w: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%。项目绩效目标完成情况：一是完成中文核心投稿</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构建“经典方剂-关键靶标-代谢重塑-行为改善”的实验设计，初步形成逻辑链条。通过项目实施，完成了年初设定的各项绩效目标，未发现问题</w:t>
      </w:r>
      <w:r>
        <w:rPr>
          <w:rFonts w:hint="eastAsia" w:ascii="Times New Roman" w:hAnsi="Times New Roman" w:eastAsia="仿宋_GB2312" w:cs="Times New Roman"/>
          <w:sz w:val="32"/>
          <w:szCs w:val="32"/>
          <w:lang w:eastAsia="zh-CN"/>
        </w:rPr>
        <w:t>。</w:t>
      </w:r>
    </w:p>
    <w:p w14:paraId="15DC7035">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中央提前下达2025年中医药事业传承与发展补助资金（中医医养结合能力提升项目）绩效自评情况：根据年初设定的绩效目标，中央提前下达2025年中医药事业传承与发展补助资金（中医医养结合能力提升项目）绩效自评得分为99.5分（绩效自评表附后）。全年预算数为31.88万元，执行数为31.88万元，完成预算的100%。项目绩效目标完成情况：一是购置了医疗仪器设备12台，加强了医院临床科室建设；二是大力推进医养结合产业高质量发展，推动中医特色</w:t>
      </w:r>
      <w:r>
        <w:rPr>
          <w:rFonts w:hint="eastAsia" w:ascii="Times New Roman" w:hAnsi="Times New Roman" w:eastAsia="仿宋_GB2312" w:cs="Times New Roman"/>
          <w:sz w:val="32"/>
          <w:szCs w:val="32"/>
          <w:lang w:val="en-US" w:eastAsia="zh-CN"/>
        </w:rPr>
        <w:t>建设</w:t>
      </w:r>
      <w:r>
        <w:rPr>
          <w:rFonts w:hint="eastAsia" w:ascii="Times New Roman" w:hAnsi="Times New Roman" w:eastAsia="仿宋_GB2312" w:cs="Times New Roman"/>
          <w:sz w:val="32"/>
          <w:szCs w:val="32"/>
          <w:lang w:eastAsia="zh-CN"/>
        </w:rPr>
        <w:t>，快速提升了医疗保障能力。发现的主要问题及原因是：因医疗器械设备市场价格浮动及该批次医疗设备生产技术已成熟，零部件成本下降等因素，导致成本指标中设备购置单价</w:t>
      </w:r>
      <w:r>
        <w:rPr>
          <w:rFonts w:hint="eastAsia" w:ascii="Times New Roman" w:hAnsi="Times New Roman" w:eastAsia="仿宋_GB2312" w:cs="Times New Roman"/>
          <w:sz w:val="32"/>
          <w:szCs w:val="32"/>
          <w:lang w:val="en-US" w:eastAsia="zh-CN"/>
        </w:rPr>
        <w:t>略低于设定的</w:t>
      </w:r>
      <w:r>
        <w:rPr>
          <w:rFonts w:hint="eastAsia" w:ascii="Times New Roman" w:hAnsi="Times New Roman" w:eastAsia="仿宋_GB2312" w:cs="Times New Roman"/>
          <w:sz w:val="32"/>
          <w:szCs w:val="32"/>
          <w:lang w:eastAsia="zh-CN"/>
        </w:rPr>
        <w:t>指标值。下一步改进措施：进一步完善设备采购制度，强化设备采购前期多方市场调</w:t>
      </w:r>
      <w:r>
        <w:rPr>
          <w:rFonts w:hint="eastAsia" w:ascii="Times New Roman" w:hAnsi="Times New Roman" w:eastAsia="仿宋_GB2312" w:cs="Times New Roman"/>
          <w:sz w:val="32"/>
          <w:szCs w:val="32"/>
          <w:lang w:val="en-US" w:eastAsia="zh-CN"/>
        </w:rPr>
        <w:t>研</w:t>
      </w:r>
      <w:r>
        <w:rPr>
          <w:rFonts w:hint="eastAsia" w:ascii="Times New Roman" w:hAnsi="Times New Roman" w:eastAsia="仿宋_GB2312" w:cs="Times New Roman"/>
          <w:sz w:val="32"/>
          <w:szCs w:val="32"/>
          <w:lang w:eastAsia="zh-CN"/>
        </w:rPr>
        <w:t>的必要性，优化内部控制流程，形成采购程序的闭环管理。</w:t>
      </w:r>
    </w:p>
    <w:p w14:paraId="6E21165A">
      <w:pPr>
        <w:adjustRightInd w:val="0"/>
        <w:snapToGrid w:val="0"/>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省级中医药事业传承与发展补助资金（中医药人才队伍建设项目）绩效自评情况：根据年初设定的绩效目标，省级中医药事业传承与发展补助资金（中医药人才队伍建设项目）绩效自评得分为99分（绩效自评表附后）。全年预算数为18万元，执行数为18万元，完成预算的100%。项目绩效目标完成情况：一是培养省优才1人、学术继承人4人，全面提升临床经验与能力；二是建立名中医传承工作室1个，整理、继承、推广名中医学术思想和临床经验。发现的主要问题及原因是：项目资金支付时间节点略晚于绩效指标</w:t>
      </w:r>
      <w:r>
        <w:rPr>
          <w:rFonts w:hint="eastAsia" w:ascii="Times New Roman" w:hAnsi="Times New Roman" w:eastAsia="仿宋_GB2312" w:cs="Times New Roman"/>
          <w:sz w:val="32"/>
          <w:szCs w:val="32"/>
          <w:lang w:val="en-US" w:eastAsia="zh-CN"/>
        </w:rPr>
        <w:t>支付</w:t>
      </w:r>
      <w:r>
        <w:rPr>
          <w:rFonts w:hint="eastAsia" w:ascii="Times New Roman" w:hAnsi="Times New Roman" w:eastAsia="仿宋_GB2312" w:cs="Times New Roman"/>
          <w:sz w:val="32"/>
          <w:szCs w:val="32"/>
          <w:lang w:eastAsia="zh-CN"/>
        </w:rPr>
        <w:t>时间点。下一步改进措施：加强绩效三级指标考核力度，敦促项目负责人按时间进度完成绩效目标。</w:t>
      </w:r>
    </w:p>
    <w:p w14:paraId="232AC504">
      <w:pPr>
        <w:adjustRightInd w:val="0"/>
        <w:snapToGrid w:val="0"/>
        <w:spacing w:line="580" w:lineRule="exact"/>
        <w:ind w:firstLine="640" w:firstLineChars="200"/>
        <w:rPr>
          <w:rFonts w:hint="default" w:ascii="Times New Roman" w:hAnsi="Times New Roman" w:eastAsia="楷体_GB2312" w:cs="Times New Roman"/>
          <w:b/>
          <w:bCs/>
          <w:sz w:val="32"/>
          <w:szCs w:val="32"/>
        </w:rPr>
      </w:pPr>
      <w:r>
        <w:rPr>
          <w:rFonts w:hint="default" w:ascii="Times New Roman" w:hAnsi="Times New Roman" w:eastAsia="黑体" w:cs="Times New Roman"/>
          <w:sz w:val="32"/>
          <w:szCs w:val="32"/>
        </w:rPr>
        <w:t>十、其他需要说明的情况</w:t>
      </w:r>
    </w:p>
    <w:p w14:paraId="384FAB7F">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1. </w:t>
      </w:r>
      <w:r>
        <w:rPr>
          <w:rFonts w:hint="default" w:ascii="Times New Roman" w:hAnsi="Times New Roman" w:eastAsia="仿宋_GB2312" w:cs="Times New Roman"/>
          <w:sz w:val="32"/>
          <w:szCs w:val="32"/>
          <w:highlight w:val="none"/>
        </w:rPr>
        <w:t>本单位202</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年度</w:t>
      </w:r>
      <w:r>
        <w:rPr>
          <w:rFonts w:hint="default" w:ascii="Times New Roman" w:hAnsi="Times New Roman" w:eastAsia="仿宋_GB2312" w:cs="Times New Roman"/>
          <w:b w:val="0"/>
          <w:sz w:val="32"/>
          <w:szCs w:val="32"/>
          <w:highlight w:val="none"/>
        </w:rPr>
        <w:t>政府性基金预算财政拨款收入支出决算表（公开07表）、国有资本经营预算财政拨款支出决算表（公开08表）、财政拨款“三公”经费支出决算表（公开09表）</w:t>
      </w:r>
      <w:r>
        <w:rPr>
          <w:rFonts w:hint="default" w:ascii="Times New Roman" w:hAnsi="Times New Roman" w:eastAsia="仿宋_GB2312" w:cs="Times New Roman"/>
          <w:b w:val="0"/>
          <w:sz w:val="32"/>
          <w:szCs w:val="32"/>
        </w:rPr>
        <w:t>无相应收支</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故空表列示。</w:t>
      </w:r>
    </w:p>
    <w:p w14:paraId="189BC8E9">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由于决算公开表格中金额数值应当保留两位小数，公开数据为四舍五入计算结果，个别数据合计项与分项之和存在小数点后差额，特此说明。</w:t>
      </w:r>
    </w:p>
    <w:p w14:paraId="567FC609">
      <w:pPr>
        <w:rPr>
          <w:rFonts w:hint="default" w:ascii="Times New Roman" w:hAnsi="Times New Roman" w:eastAsia="宋体" w:cs="Times New Roman"/>
          <w:b/>
          <w:bCs/>
          <w:kern w:val="0"/>
          <w:sz w:val="44"/>
          <w:szCs w:val="44"/>
        </w:rPr>
      </w:pPr>
      <w:r>
        <w:rPr>
          <w:rFonts w:hint="default" w:ascii="Times New Roman" w:hAnsi="Times New Roman" w:eastAsia="宋体" w:cs="Times New Roman"/>
          <w:b/>
          <w:bCs/>
          <w:kern w:val="0"/>
          <w:sz w:val="44"/>
          <w:szCs w:val="44"/>
        </w:rPr>
        <w:br w:type="page"/>
      </w:r>
    </w:p>
    <w:p w14:paraId="5B2D3D4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5E34956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783864A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14FE031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0D3AE84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Times New Roman" w:hAnsi="Times New Roman" w:eastAsia="黑体" w:cs="Times New Roman"/>
          <w:i w:val="0"/>
          <w:iCs w:val="0"/>
          <w:caps w:val="0"/>
          <w:color w:val="000000"/>
          <w:spacing w:val="0"/>
          <w:sz w:val="72"/>
          <w:szCs w:val="72"/>
          <w:highlight w:val="none"/>
          <w:shd w:val="clear" w:fill="FFFFFF"/>
          <w:lang w:val="en-US" w:eastAsia="zh-CN"/>
        </w:rPr>
      </w:pPr>
    </w:p>
    <w:p w14:paraId="07EF08A9">
      <w:pPr>
        <w:widowControl/>
        <w:spacing w:line="580" w:lineRule="exact"/>
        <w:jc w:val="cente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第四部分 名词解释</w:t>
      </w:r>
    </w:p>
    <w:p w14:paraId="7C0D9BEA">
      <w:pPr>
        <w:rPr>
          <w:rFonts w:hint="default" w:ascii="Times New Roman" w:hAnsi="Times New Roman" w:eastAsia="仿宋_GB2312" w:cs="Times New Roman"/>
          <w:sz w:val="32"/>
          <w:szCs w:val="32"/>
        </w:rPr>
      </w:pPr>
      <w:r>
        <w:rPr>
          <w:rFonts w:hint="default" w:ascii="Times New Roman" w:hAnsi="Times New Roman" w:eastAsia="黑体" w:cs="Times New Roman"/>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br w:type="page"/>
      </w:r>
    </w:p>
    <w:p w14:paraId="5A78070C">
      <w:pPr>
        <w:pStyle w:val="15"/>
        <w:spacing w:line="58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一、财政拨款收入：</w:t>
      </w:r>
      <w:r>
        <w:rPr>
          <w:rFonts w:hint="default" w:ascii="Times New Roman" w:hAnsi="Times New Roman" w:eastAsia="仿宋_GB2312" w:cs="Times New Roman"/>
          <w:sz w:val="32"/>
          <w:szCs w:val="32"/>
        </w:rPr>
        <w:t>指单位从同级财政部门取得的财政预算资金。</w:t>
      </w:r>
    </w:p>
    <w:p w14:paraId="1EDD68AF">
      <w:pPr>
        <w:pStyle w:val="15"/>
        <w:spacing w:line="58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二、事业收入：</w:t>
      </w:r>
      <w:r>
        <w:rPr>
          <w:rFonts w:hint="default" w:ascii="Times New Roman" w:hAnsi="Times New Roman" w:eastAsia="仿宋_GB2312" w:cs="Times New Roman"/>
          <w:sz w:val="32"/>
          <w:szCs w:val="32"/>
        </w:rPr>
        <w:t>指事业单位开展专业业务活动及辅助活动取得的收入。</w:t>
      </w:r>
    </w:p>
    <w:p w14:paraId="0075C0CC">
      <w:pPr>
        <w:pStyle w:val="15"/>
        <w:spacing w:line="58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三、经营收入：</w:t>
      </w:r>
      <w:r>
        <w:rPr>
          <w:rFonts w:hint="default" w:ascii="Times New Roman" w:hAnsi="Times New Roman" w:eastAsia="仿宋_GB2312" w:cs="Times New Roman"/>
          <w:sz w:val="32"/>
          <w:szCs w:val="32"/>
        </w:rPr>
        <w:t>指事业单位在专业业务活动及其辅助活动之外开展非独立核算经营活动取得的收入。</w:t>
      </w:r>
    </w:p>
    <w:p w14:paraId="40A821EF">
      <w:pPr>
        <w:pStyle w:val="15"/>
        <w:spacing w:line="58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四、其他收入：</w:t>
      </w:r>
      <w:r>
        <w:rPr>
          <w:rFonts w:hint="default" w:ascii="Times New Roman" w:hAnsi="Times New Roman" w:eastAsia="仿宋_GB2312" w:cs="Times New Roman"/>
          <w:sz w:val="32"/>
          <w:szCs w:val="32"/>
        </w:rPr>
        <w:t>指单位取得的除上述收入以外的各项收入。主要是事业单位固定资产出租收入、存款利息收入等。</w:t>
      </w:r>
    </w:p>
    <w:p w14:paraId="51B2F628">
      <w:pPr>
        <w:pStyle w:val="15"/>
        <w:spacing w:line="58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五、使用非财政拨款结余（含专用结余）：</w:t>
      </w:r>
      <w:r>
        <w:rPr>
          <w:rFonts w:hint="default" w:ascii="Times New Roman" w:hAnsi="Times New Roman" w:eastAsia="仿宋_GB2312" w:cs="Times New Roman"/>
          <w:sz w:val="32"/>
          <w:szCs w:val="32"/>
        </w:rPr>
        <w:t>指事业单位按照预算管理要求使用非财政拨款结余弥补收支差额的金额，以及使用专用结余安排支出的金额。</w:t>
      </w:r>
    </w:p>
    <w:p w14:paraId="7EB96E44">
      <w:pPr>
        <w:spacing w:line="580" w:lineRule="exact"/>
        <w:ind w:firstLine="643"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
          <w:bCs/>
          <w:color w:val="000000"/>
          <w:kern w:val="0"/>
          <w:sz w:val="32"/>
          <w:szCs w:val="32"/>
        </w:rPr>
        <w:t>六、年初结转和结余：</w:t>
      </w:r>
      <w:r>
        <w:rPr>
          <w:rFonts w:hint="default" w:ascii="Times New Roman" w:hAnsi="Times New Roman" w:eastAsia="仿宋_GB2312" w:cs="Times New Roman"/>
          <w:bCs/>
          <w:color w:val="000000"/>
          <w:kern w:val="0"/>
          <w:sz w:val="32"/>
          <w:szCs w:val="32"/>
        </w:rPr>
        <w:t>指单位以前年度尚未完成、结转到本年仍按原规定用途继续使用的资金，或项目已完成等产生的结余资金。</w:t>
      </w:r>
    </w:p>
    <w:p w14:paraId="61E02347">
      <w:pPr>
        <w:spacing w:line="580" w:lineRule="exact"/>
        <w:ind w:firstLine="643"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
          <w:bCs/>
          <w:color w:val="000000"/>
          <w:kern w:val="0"/>
          <w:sz w:val="32"/>
          <w:szCs w:val="32"/>
        </w:rPr>
        <w:t>七、结余分配：</w:t>
      </w:r>
      <w:r>
        <w:rPr>
          <w:rFonts w:hint="default" w:ascii="Times New Roman" w:hAnsi="Times New Roman" w:eastAsia="仿宋_GB2312" w:cs="Times New Roman"/>
          <w:bCs/>
          <w:color w:val="000000"/>
          <w:kern w:val="0"/>
          <w:sz w:val="32"/>
          <w:szCs w:val="32"/>
        </w:rPr>
        <w:t>指事业单位按照会计制度规定缴纳的所得税、提取的专用结余以及转入非财政拨款结余的金额等。</w:t>
      </w:r>
    </w:p>
    <w:p w14:paraId="66F9F61F">
      <w:pPr>
        <w:spacing w:line="580" w:lineRule="exact"/>
        <w:ind w:firstLine="643"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
          <w:bCs/>
          <w:color w:val="000000"/>
          <w:kern w:val="0"/>
          <w:sz w:val="32"/>
          <w:szCs w:val="32"/>
        </w:rPr>
        <w:t>八、年末结转和结余：</w:t>
      </w:r>
      <w:r>
        <w:rPr>
          <w:rFonts w:hint="default" w:ascii="Times New Roman" w:hAnsi="Times New Roman" w:eastAsia="仿宋_GB2312" w:cs="Times New Roman"/>
          <w:bCs/>
          <w:color w:val="000000"/>
          <w:kern w:val="0"/>
          <w:sz w:val="32"/>
          <w:szCs w:val="32"/>
        </w:rPr>
        <w:t>指单位按有关规定结转到下年或以后年度继续使用的资金，或项目已完成等产生的结余资金。</w:t>
      </w:r>
    </w:p>
    <w:p w14:paraId="7D4BC902">
      <w:pPr>
        <w:spacing w:line="580" w:lineRule="exact"/>
        <w:ind w:firstLine="643"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
          <w:bCs/>
          <w:color w:val="000000"/>
          <w:kern w:val="0"/>
          <w:sz w:val="32"/>
          <w:szCs w:val="32"/>
        </w:rPr>
        <w:t>九、基本支出：</w:t>
      </w:r>
      <w:r>
        <w:rPr>
          <w:rFonts w:hint="default" w:ascii="Times New Roman" w:hAnsi="Times New Roman" w:eastAsia="仿宋_GB2312" w:cs="Times New Roman"/>
          <w:bCs/>
          <w:color w:val="000000"/>
          <w:kern w:val="0"/>
          <w:sz w:val="32"/>
          <w:szCs w:val="32"/>
        </w:rPr>
        <w:t>指为保障机构正常运转、完成日常工作任务而发生的人员支出和公用支出。</w:t>
      </w:r>
    </w:p>
    <w:p w14:paraId="59912B24">
      <w:pPr>
        <w:widowControl/>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十、项目支出：</w:t>
      </w:r>
      <w:r>
        <w:rPr>
          <w:rFonts w:hint="default" w:ascii="Times New Roman" w:hAnsi="Times New Roman" w:eastAsia="仿宋_GB2312" w:cs="Times New Roman"/>
          <w:color w:val="000000"/>
          <w:kern w:val="0"/>
          <w:sz w:val="32"/>
          <w:szCs w:val="32"/>
        </w:rPr>
        <w:t>指在基本支出之外为完成特定行政任务和事业发展目标所发生的支出。</w:t>
      </w:r>
    </w:p>
    <w:p w14:paraId="59C44E6B">
      <w:pPr>
        <w:widowControl/>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十一、经营支出：</w:t>
      </w:r>
      <w:r>
        <w:rPr>
          <w:rFonts w:hint="default" w:ascii="Times New Roman" w:hAnsi="Times New Roman" w:eastAsia="仿宋_GB2312" w:cs="Times New Roman"/>
          <w:color w:val="000000"/>
          <w:kern w:val="0"/>
          <w:sz w:val="32"/>
          <w:szCs w:val="32"/>
        </w:rPr>
        <w:t>指事业单位在专业业务活动及其辅助活动之外开展非独立核算经营活动发生的支出。</w:t>
      </w:r>
    </w:p>
    <w:p w14:paraId="2E297E0F">
      <w:pPr>
        <w:widowControl/>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十二、基本建设支出：</w:t>
      </w:r>
      <w:r>
        <w:rPr>
          <w:rFonts w:hint="default" w:ascii="Times New Roman" w:hAnsi="Times New Roman" w:eastAsia="仿宋_GB2312" w:cs="Times New Roman"/>
          <w:color w:val="000000"/>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14:paraId="1573C8D9">
      <w:pPr>
        <w:widowControl/>
        <w:spacing w:line="580" w:lineRule="exact"/>
        <w:ind w:firstLine="643" w:firstLineChars="200"/>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十三、其他资本性支出：</w:t>
      </w:r>
      <w:r>
        <w:rPr>
          <w:rFonts w:hint="default" w:ascii="Times New Roman" w:hAnsi="Times New Roman" w:eastAsia="仿宋_GB2312" w:cs="Times New Roman"/>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14:paraId="23F6598C">
      <w:pPr>
        <w:snapToGrid w:val="0"/>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十四、“三公”经费：</w:t>
      </w:r>
      <w:r>
        <w:rPr>
          <w:rFonts w:hint="default" w:ascii="Times New Roman" w:hAnsi="Times New Roman" w:eastAsia="仿宋_GB2312" w:cs="Times New Roman"/>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14:paraId="42B54387">
      <w:pPr>
        <w:snapToGrid w:val="0"/>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十五、其他交通费用：</w:t>
      </w:r>
      <w:r>
        <w:rPr>
          <w:rFonts w:hint="default" w:ascii="Times New Roman" w:hAnsi="Times New Roman" w:eastAsia="仿宋_GB2312" w:cs="Times New Roman"/>
          <w:color w:val="000000"/>
          <w:kern w:val="0"/>
          <w:sz w:val="32"/>
          <w:szCs w:val="32"/>
        </w:rPr>
        <w:t>填列单位除公务用车运行维护费以外的其他交通费用。如公务交通补贴、租车费用、出租车费用，飞机、船舶等燃料费、维修费、保险费等。</w:t>
      </w:r>
    </w:p>
    <w:p w14:paraId="068EBE07">
      <w:pPr>
        <w:widowControl/>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十六、公务用车购置：</w:t>
      </w:r>
      <w:r>
        <w:rPr>
          <w:rFonts w:hint="default" w:ascii="Times New Roman" w:hAnsi="Times New Roman" w:eastAsia="仿宋_GB2312" w:cs="Times New Roman"/>
          <w:color w:val="000000"/>
          <w:kern w:val="0"/>
          <w:sz w:val="32"/>
          <w:szCs w:val="32"/>
        </w:rPr>
        <w:t>填列单位公务用车车辆购置支出（含车辆购置税、牌照费）。</w:t>
      </w:r>
    </w:p>
    <w:p w14:paraId="0C41C5A8">
      <w:pPr>
        <w:widowControl/>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十七、其他交通工具购置：</w:t>
      </w:r>
      <w:r>
        <w:rPr>
          <w:rFonts w:hint="default" w:ascii="Times New Roman" w:hAnsi="Times New Roman" w:eastAsia="仿宋_GB2312" w:cs="Times New Roman"/>
          <w:color w:val="000000"/>
          <w:kern w:val="0"/>
          <w:sz w:val="32"/>
          <w:szCs w:val="32"/>
        </w:rPr>
        <w:t>填列单位除公务用车外的其他各类交通工具（如船舶、飞机等）购置支出（含车辆购置税、牌照费）。</w:t>
      </w:r>
    </w:p>
    <w:p w14:paraId="7EA520DE">
      <w:pPr>
        <w:widowControl/>
        <w:spacing w:line="580" w:lineRule="exact"/>
        <w:ind w:firstLine="643"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
          <w:bCs/>
          <w:color w:val="000000"/>
          <w:kern w:val="0"/>
          <w:sz w:val="32"/>
          <w:szCs w:val="32"/>
        </w:rPr>
        <w:t>十八、机关运行经费：</w:t>
      </w:r>
      <w:r>
        <w:rPr>
          <w:rFonts w:hint="default" w:ascii="Times New Roman" w:hAnsi="Times New Roman" w:eastAsia="仿宋_GB2312" w:cs="Times New Roman"/>
          <w:color w:val="000000"/>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14:paraId="7E843BD6">
      <w:pPr>
        <w:spacing w:line="580" w:lineRule="exact"/>
        <w:rPr>
          <w:rFonts w:hint="default" w:ascii="Times New Roman" w:hAnsi="Times New Roman" w:cs="Times New Roman"/>
        </w:rPr>
      </w:pPr>
    </w:p>
    <w:sectPr>
      <w:pgSz w:w="11906" w:h="16838"/>
      <w:pgMar w:top="2098" w:right="1418" w:bottom="1871"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E2BEC5-6A15-47E1-A052-70B567FF55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embedRegular r:id="rId2" w:fontKey="{3BFCBEF2-6617-41FD-B1EA-9269BD13518D}"/>
  </w:font>
  <w:font w:name="楷体_GB2312">
    <w:panose1 w:val="02010609030101010101"/>
    <w:charset w:val="86"/>
    <w:family w:val="modern"/>
    <w:pitch w:val="default"/>
    <w:sig w:usb0="00000001" w:usb1="080E0000" w:usb2="00000000" w:usb3="00000000" w:csb0="00040000" w:csb1="00000000"/>
    <w:embedRegular r:id="rId3" w:fontKey="{EE6112DF-6FDD-4B38-A6E9-8DA6CF9A4E11}"/>
  </w:font>
  <w:font w:name="仿宋_GB2312">
    <w:panose1 w:val="02010609030101010101"/>
    <w:charset w:val="86"/>
    <w:family w:val="modern"/>
    <w:pitch w:val="default"/>
    <w:sig w:usb0="00000001" w:usb1="080E0000" w:usb2="00000000" w:usb3="00000000" w:csb0="00040000" w:csb1="00000000"/>
    <w:embedRegular r:id="rId4" w:fontKey="{7527F505-E868-4EC5-A6EF-57D311F00BC2}"/>
  </w:font>
  <w:font w:name="方正仿宋_GB2312">
    <w:panose1 w:val="02000000000000000000"/>
    <w:charset w:val="86"/>
    <w:family w:val="auto"/>
    <w:pitch w:val="default"/>
    <w:sig w:usb0="A00002BF" w:usb1="184F6CFA" w:usb2="00000012" w:usb3="00000000" w:csb0="00040001" w:csb1="00000000"/>
    <w:embedRegular r:id="rId5" w:fontKey="{15171EBE-D5FC-430B-B66E-EDF421784B27}"/>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27626">
    <w:pPr>
      <w:pStyle w:val="5"/>
      <w:jc w:val="center"/>
    </w:pPr>
  </w:p>
  <w:p w14:paraId="6D3128B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6528923"/>
    </w:sdtPr>
    <w:sdtEndPr>
      <w:rPr>
        <w:rFonts w:ascii="Times New Roman" w:hAnsi="Times New Roman" w:cs="Times New Roman"/>
        <w:sz w:val="28"/>
        <w:szCs w:val="28"/>
      </w:rPr>
    </w:sdtEndPr>
    <w:sdtContent>
      <w:p w14:paraId="0CC8333F">
        <w:pPr>
          <w:pStyle w:val="5"/>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4</w:t>
        </w:r>
        <w:r>
          <w:rPr>
            <w:rFonts w:ascii="Times New Roman" w:hAnsi="Times New Roman" w:cs="Times New Roman"/>
            <w:sz w:val="28"/>
            <w:szCs w:val="28"/>
          </w:rPr>
          <w:fldChar w:fldCharType="end"/>
        </w:r>
        <w:r>
          <w:rPr>
            <w:rFonts w:ascii="Times New Roman" w:hAnsi="Times New Roman" w:cs="Times New Roman"/>
            <w:sz w:val="28"/>
            <w:szCs w:val="28"/>
          </w:rPr>
          <w:t>—</w:t>
        </w:r>
      </w:p>
    </w:sdtContent>
  </w:sdt>
  <w:p w14:paraId="22D79E96">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FB09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1FB61">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4E724">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AE9EC">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7B9"/>
    <w:rsid w:val="000807B9"/>
    <w:rsid w:val="000E6F60"/>
    <w:rsid w:val="001243B4"/>
    <w:rsid w:val="00172677"/>
    <w:rsid w:val="001C6A6A"/>
    <w:rsid w:val="00220943"/>
    <w:rsid w:val="002D4C51"/>
    <w:rsid w:val="002F2DB6"/>
    <w:rsid w:val="003301C9"/>
    <w:rsid w:val="00332905"/>
    <w:rsid w:val="003F7706"/>
    <w:rsid w:val="00447340"/>
    <w:rsid w:val="00462F02"/>
    <w:rsid w:val="00471A54"/>
    <w:rsid w:val="00520668"/>
    <w:rsid w:val="005B5FCD"/>
    <w:rsid w:val="00605266"/>
    <w:rsid w:val="00606924"/>
    <w:rsid w:val="00653521"/>
    <w:rsid w:val="00686BDC"/>
    <w:rsid w:val="006A6374"/>
    <w:rsid w:val="00726674"/>
    <w:rsid w:val="00733638"/>
    <w:rsid w:val="00775C9C"/>
    <w:rsid w:val="007E5523"/>
    <w:rsid w:val="00802F5C"/>
    <w:rsid w:val="00804174"/>
    <w:rsid w:val="0082221E"/>
    <w:rsid w:val="00836FA6"/>
    <w:rsid w:val="008948AE"/>
    <w:rsid w:val="008D24C5"/>
    <w:rsid w:val="00947354"/>
    <w:rsid w:val="00947C75"/>
    <w:rsid w:val="00967126"/>
    <w:rsid w:val="009B09E1"/>
    <w:rsid w:val="00A40C19"/>
    <w:rsid w:val="00A61549"/>
    <w:rsid w:val="00A866E4"/>
    <w:rsid w:val="00A9383B"/>
    <w:rsid w:val="00B00F32"/>
    <w:rsid w:val="00B7646C"/>
    <w:rsid w:val="00BA2A97"/>
    <w:rsid w:val="00BC5A71"/>
    <w:rsid w:val="00BC6BE1"/>
    <w:rsid w:val="00C20F51"/>
    <w:rsid w:val="00C6541E"/>
    <w:rsid w:val="00C945DD"/>
    <w:rsid w:val="00CA03A3"/>
    <w:rsid w:val="00CB1126"/>
    <w:rsid w:val="00D40E9A"/>
    <w:rsid w:val="00D73746"/>
    <w:rsid w:val="00D822EA"/>
    <w:rsid w:val="00DA2495"/>
    <w:rsid w:val="00DC37FD"/>
    <w:rsid w:val="00DD39E4"/>
    <w:rsid w:val="00E07713"/>
    <w:rsid w:val="00E1417B"/>
    <w:rsid w:val="00E33A0E"/>
    <w:rsid w:val="00EA6A18"/>
    <w:rsid w:val="00F143AE"/>
    <w:rsid w:val="00F565FC"/>
    <w:rsid w:val="00F94EBA"/>
    <w:rsid w:val="00F95C94"/>
    <w:rsid w:val="00FC3968"/>
    <w:rsid w:val="00FC7282"/>
    <w:rsid w:val="00FD16C8"/>
    <w:rsid w:val="021C6F3B"/>
    <w:rsid w:val="02F31F68"/>
    <w:rsid w:val="03791753"/>
    <w:rsid w:val="058F1702"/>
    <w:rsid w:val="05E76E48"/>
    <w:rsid w:val="05F504EE"/>
    <w:rsid w:val="07014C76"/>
    <w:rsid w:val="071B1E3E"/>
    <w:rsid w:val="087E15BA"/>
    <w:rsid w:val="09945539"/>
    <w:rsid w:val="0AAC0660"/>
    <w:rsid w:val="0B8F2FBD"/>
    <w:rsid w:val="0BC32105"/>
    <w:rsid w:val="0CA43CE5"/>
    <w:rsid w:val="0D3A01A5"/>
    <w:rsid w:val="0E927B6D"/>
    <w:rsid w:val="10817E99"/>
    <w:rsid w:val="108A0935"/>
    <w:rsid w:val="1154735C"/>
    <w:rsid w:val="128B3251"/>
    <w:rsid w:val="12C66037"/>
    <w:rsid w:val="14BB62BE"/>
    <w:rsid w:val="15FD7C9B"/>
    <w:rsid w:val="165D0FB3"/>
    <w:rsid w:val="16D9794A"/>
    <w:rsid w:val="17445DA5"/>
    <w:rsid w:val="17BD3EAD"/>
    <w:rsid w:val="18131D1F"/>
    <w:rsid w:val="182F1538"/>
    <w:rsid w:val="18F13BDB"/>
    <w:rsid w:val="199015C5"/>
    <w:rsid w:val="1996115B"/>
    <w:rsid w:val="19AD1CFF"/>
    <w:rsid w:val="1A1B5BC5"/>
    <w:rsid w:val="1AC51736"/>
    <w:rsid w:val="1B216501"/>
    <w:rsid w:val="1B721452"/>
    <w:rsid w:val="1B9969DF"/>
    <w:rsid w:val="1BD73063"/>
    <w:rsid w:val="1C8431EB"/>
    <w:rsid w:val="1D86066E"/>
    <w:rsid w:val="1DB71419"/>
    <w:rsid w:val="1E3F4E76"/>
    <w:rsid w:val="1E5D0198"/>
    <w:rsid w:val="20BC5761"/>
    <w:rsid w:val="20D81D57"/>
    <w:rsid w:val="2116549F"/>
    <w:rsid w:val="229121BE"/>
    <w:rsid w:val="231D65B1"/>
    <w:rsid w:val="239D411B"/>
    <w:rsid w:val="23CC2EB8"/>
    <w:rsid w:val="24751C29"/>
    <w:rsid w:val="249266C1"/>
    <w:rsid w:val="24D3523E"/>
    <w:rsid w:val="256D7E07"/>
    <w:rsid w:val="25E71733"/>
    <w:rsid w:val="26F4564F"/>
    <w:rsid w:val="28D50537"/>
    <w:rsid w:val="29B33362"/>
    <w:rsid w:val="2A2A7E9C"/>
    <w:rsid w:val="2AA40417"/>
    <w:rsid w:val="2B91339F"/>
    <w:rsid w:val="2BAC159C"/>
    <w:rsid w:val="2C0021F3"/>
    <w:rsid w:val="2CB77027"/>
    <w:rsid w:val="2DB759F2"/>
    <w:rsid w:val="2E1D05EE"/>
    <w:rsid w:val="2E204D3E"/>
    <w:rsid w:val="2E277E7A"/>
    <w:rsid w:val="2E933762"/>
    <w:rsid w:val="2EBE0ADD"/>
    <w:rsid w:val="2F1030CE"/>
    <w:rsid w:val="2F6364CD"/>
    <w:rsid w:val="2FBC4423"/>
    <w:rsid w:val="309754BA"/>
    <w:rsid w:val="311102BB"/>
    <w:rsid w:val="31F36233"/>
    <w:rsid w:val="32B22DC9"/>
    <w:rsid w:val="34480B4A"/>
    <w:rsid w:val="34EC3BCC"/>
    <w:rsid w:val="355E67DA"/>
    <w:rsid w:val="37531CE0"/>
    <w:rsid w:val="37C17290"/>
    <w:rsid w:val="37E42938"/>
    <w:rsid w:val="396D3D05"/>
    <w:rsid w:val="39D4535A"/>
    <w:rsid w:val="3A7B3A28"/>
    <w:rsid w:val="3AB02799"/>
    <w:rsid w:val="3AC24284"/>
    <w:rsid w:val="3C4E2014"/>
    <w:rsid w:val="3CDC62D4"/>
    <w:rsid w:val="3D243A27"/>
    <w:rsid w:val="3D3B753F"/>
    <w:rsid w:val="3E3803BE"/>
    <w:rsid w:val="3E8D70AC"/>
    <w:rsid w:val="3F7171A7"/>
    <w:rsid w:val="3FB11C9A"/>
    <w:rsid w:val="4013200C"/>
    <w:rsid w:val="413E130B"/>
    <w:rsid w:val="420D3491"/>
    <w:rsid w:val="424F19F5"/>
    <w:rsid w:val="431420AD"/>
    <w:rsid w:val="45250DA4"/>
    <w:rsid w:val="45F12DF0"/>
    <w:rsid w:val="45F13468"/>
    <w:rsid w:val="466F1F67"/>
    <w:rsid w:val="469D1496"/>
    <w:rsid w:val="46F54B62"/>
    <w:rsid w:val="47226FD9"/>
    <w:rsid w:val="47D128CC"/>
    <w:rsid w:val="48180B08"/>
    <w:rsid w:val="485E233B"/>
    <w:rsid w:val="48BB399F"/>
    <w:rsid w:val="48C11A0A"/>
    <w:rsid w:val="49695393"/>
    <w:rsid w:val="499046CE"/>
    <w:rsid w:val="49990697"/>
    <w:rsid w:val="4A9A1CA8"/>
    <w:rsid w:val="4AC07235"/>
    <w:rsid w:val="4B2711BE"/>
    <w:rsid w:val="4CE26326"/>
    <w:rsid w:val="4D265A75"/>
    <w:rsid w:val="4F1C6304"/>
    <w:rsid w:val="4F1E2BE8"/>
    <w:rsid w:val="4F4E12B3"/>
    <w:rsid w:val="505C17AE"/>
    <w:rsid w:val="50E377D9"/>
    <w:rsid w:val="50FF399A"/>
    <w:rsid w:val="511A2C8A"/>
    <w:rsid w:val="52174C68"/>
    <w:rsid w:val="52880638"/>
    <w:rsid w:val="53350000"/>
    <w:rsid w:val="55BB2B19"/>
    <w:rsid w:val="56BF77B6"/>
    <w:rsid w:val="573E39BB"/>
    <w:rsid w:val="57B40121"/>
    <w:rsid w:val="57C225EC"/>
    <w:rsid w:val="57F624E8"/>
    <w:rsid w:val="59760FEE"/>
    <w:rsid w:val="5AA02EAC"/>
    <w:rsid w:val="5AA31831"/>
    <w:rsid w:val="5B75607A"/>
    <w:rsid w:val="5BD37E48"/>
    <w:rsid w:val="5D675409"/>
    <w:rsid w:val="5DED7EE9"/>
    <w:rsid w:val="5E1C6E5F"/>
    <w:rsid w:val="5F0D24D7"/>
    <w:rsid w:val="6003484E"/>
    <w:rsid w:val="60A32AE1"/>
    <w:rsid w:val="615E2D65"/>
    <w:rsid w:val="62EB3F0B"/>
    <w:rsid w:val="65515201"/>
    <w:rsid w:val="65DF6369"/>
    <w:rsid w:val="65E41BD1"/>
    <w:rsid w:val="660B3602"/>
    <w:rsid w:val="665772D8"/>
    <w:rsid w:val="673426E5"/>
    <w:rsid w:val="677D408C"/>
    <w:rsid w:val="68953657"/>
    <w:rsid w:val="68B82E7C"/>
    <w:rsid w:val="68EF7116"/>
    <w:rsid w:val="6918785E"/>
    <w:rsid w:val="6AE674BA"/>
    <w:rsid w:val="6B063777"/>
    <w:rsid w:val="6B5C220A"/>
    <w:rsid w:val="6BAB24B1"/>
    <w:rsid w:val="6C152AE5"/>
    <w:rsid w:val="6C423AF6"/>
    <w:rsid w:val="6CDF2AE4"/>
    <w:rsid w:val="6D154C9B"/>
    <w:rsid w:val="6DDF0D76"/>
    <w:rsid w:val="6E3851B0"/>
    <w:rsid w:val="6E8E69EC"/>
    <w:rsid w:val="6E900B48"/>
    <w:rsid w:val="6E943ADE"/>
    <w:rsid w:val="70801293"/>
    <w:rsid w:val="71C07997"/>
    <w:rsid w:val="72A42E14"/>
    <w:rsid w:val="72A75AD5"/>
    <w:rsid w:val="752B15CB"/>
    <w:rsid w:val="758918C0"/>
    <w:rsid w:val="759F4EC1"/>
    <w:rsid w:val="75DC4D0C"/>
    <w:rsid w:val="771542E1"/>
    <w:rsid w:val="77212C85"/>
    <w:rsid w:val="774C5829"/>
    <w:rsid w:val="776C4A5C"/>
    <w:rsid w:val="77A55067"/>
    <w:rsid w:val="79837AD1"/>
    <w:rsid w:val="7B0F7299"/>
    <w:rsid w:val="7C58630B"/>
    <w:rsid w:val="7C8D2B6B"/>
    <w:rsid w:val="7D0730D9"/>
    <w:rsid w:val="7D4B1AE1"/>
    <w:rsid w:val="7DA43CC8"/>
    <w:rsid w:val="7E9C52E7"/>
    <w:rsid w:val="7F730DDA"/>
    <w:rsid w:val="7F981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styleId="7">
    <w:name w:val="Normal (Web)"/>
    <w:basedOn w:val="1"/>
    <w:qFormat/>
    <w:uiPriority w:val="0"/>
    <w:rPr>
      <w:sz w:val="24"/>
      <w:szCs w:val="24"/>
    </w:rPr>
  </w:style>
  <w:style w:type="paragraph" w:styleId="8">
    <w:name w:val="Body Text First Indent"/>
    <w:basedOn w:val="3"/>
    <w:link w:val="25"/>
    <w:qFormat/>
    <w:uiPriority w:val="0"/>
    <w:pPr>
      <w:ind w:firstLine="420" w:firstLineChars="100"/>
    </w:pPr>
  </w:style>
  <w:style w:type="table" w:styleId="10">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标题 1 Char"/>
    <w:basedOn w:val="11"/>
    <w:link w:val="2"/>
    <w:qFormat/>
    <w:uiPriority w:val="0"/>
    <w:rPr>
      <w:b/>
      <w:bCs/>
      <w:kern w:val="44"/>
      <w:sz w:val="44"/>
      <w:szCs w:val="44"/>
    </w:rPr>
  </w:style>
  <w:style w:type="character" w:customStyle="1" w:styleId="13">
    <w:name w:val="页脚 Char"/>
    <w:basedOn w:val="11"/>
    <w:link w:val="5"/>
    <w:qFormat/>
    <w:uiPriority w:val="99"/>
    <w:rPr>
      <w:sz w:val="18"/>
      <w:szCs w:val="18"/>
    </w:rPr>
  </w:style>
  <w:style w:type="character" w:customStyle="1" w:styleId="14">
    <w:name w:val="页眉 Char"/>
    <w:basedOn w:val="11"/>
    <w:link w:val="6"/>
    <w:qFormat/>
    <w:uiPriority w:val="0"/>
    <w:rPr>
      <w:sz w:val="18"/>
      <w:szCs w:val="18"/>
    </w:rPr>
  </w:style>
  <w:style w:type="paragraph" w:styleId="15">
    <w:name w:val="No Spacing"/>
    <w:semiHidden/>
    <w:unhideWhenUsed/>
    <w:qFormat/>
    <w:uiPriority w:val="99"/>
    <w:pPr>
      <w:widowControl w:val="0"/>
      <w:jc w:val="both"/>
    </w:pPr>
    <w:rPr>
      <w:rFonts w:asciiTheme="minorHAnsi" w:hAnsiTheme="minorHAnsi" w:eastAsiaTheme="minorEastAsia" w:cstheme="minorBidi"/>
      <w:kern w:val="2"/>
      <w:sz w:val="21"/>
      <w:szCs w:val="22"/>
      <w:lang w:val="en-US" w:eastAsia="zh-CN" w:bidi="ar-SA"/>
    </w:rPr>
  </w:style>
  <w:style w:type="character" w:customStyle="1" w:styleId="16">
    <w:name w:val="批注框文本 Char"/>
    <w:basedOn w:val="11"/>
    <w:link w:val="4"/>
    <w:qFormat/>
    <w:uiPriority w:val="99"/>
    <w:rPr>
      <w:sz w:val="18"/>
      <w:szCs w:val="18"/>
    </w:rPr>
  </w:style>
  <w:style w:type="character" w:customStyle="1" w:styleId="17">
    <w:name w:val="font11"/>
    <w:basedOn w:val="11"/>
    <w:qFormat/>
    <w:uiPriority w:val="0"/>
    <w:rPr>
      <w:rFonts w:hint="eastAsia" w:ascii="宋体" w:hAnsi="宋体" w:eastAsia="宋体" w:cs="宋体"/>
      <w:color w:val="000000"/>
      <w:sz w:val="20"/>
      <w:szCs w:val="20"/>
      <w:u w:val="none"/>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41"/>
    <w:basedOn w:val="11"/>
    <w:qFormat/>
    <w:uiPriority w:val="0"/>
    <w:rPr>
      <w:rFonts w:hint="eastAsia" w:ascii="宋体" w:hAnsi="宋体" w:eastAsia="宋体" w:cs="宋体"/>
      <w:color w:val="000000"/>
      <w:sz w:val="24"/>
      <w:szCs w:val="24"/>
      <w:u w:val="none"/>
    </w:rPr>
  </w:style>
  <w:style w:type="character" w:customStyle="1" w:styleId="20">
    <w:name w:val="font31"/>
    <w:basedOn w:val="11"/>
    <w:qFormat/>
    <w:uiPriority w:val="0"/>
    <w:rPr>
      <w:rFonts w:hint="eastAsia" w:ascii="华文中宋" w:hAnsi="华文中宋" w:eastAsia="华文中宋" w:cs="华文中宋"/>
      <w:color w:val="000000"/>
      <w:sz w:val="32"/>
      <w:szCs w:val="32"/>
      <w:u w:val="none"/>
    </w:rPr>
  </w:style>
  <w:style w:type="character" w:customStyle="1" w:styleId="21">
    <w:name w:val="font91"/>
    <w:basedOn w:val="11"/>
    <w:qFormat/>
    <w:uiPriority w:val="0"/>
    <w:rPr>
      <w:rFonts w:hint="eastAsia" w:ascii="华文中宋" w:hAnsi="华文中宋" w:eastAsia="华文中宋" w:cs="华文中宋"/>
      <w:color w:val="000000"/>
      <w:sz w:val="32"/>
      <w:szCs w:val="32"/>
      <w:u w:val="none"/>
    </w:rPr>
  </w:style>
  <w:style w:type="character" w:customStyle="1" w:styleId="22">
    <w:name w:val="font51"/>
    <w:basedOn w:val="11"/>
    <w:qFormat/>
    <w:uiPriority w:val="0"/>
    <w:rPr>
      <w:rFonts w:hint="eastAsia" w:ascii="宋体" w:hAnsi="宋体" w:eastAsia="宋体" w:cs="宋体"/>
      <w:color w:val="000000"/>
      <w:sz w:val="24"/>
      <w:szCs w:val="24"/>
      <w:u w:val="none"/>
    </w:rPr>
  </w:style>
  <w:style w:type="paragraph" w:styleId="23">
    <w:name w:val="List Paragraph"/>
    <w:basedOn w:val="1"/>
    <w:semiHidden/>
    <w:unhideWhenUsed/>
    <w:qFormat/>
    <w:uiPriority w:val="99"/>
    <w:pPr>
      <w:ind w:firstLine="420" w:firstLineChars="200"/>
    </w:pPr>
  </w:style>
  <w:style w:type="character" w:customStyle="1" w:styleId="24">
    <w:name w:val="正文文本 Char"/>
    <w:basedOn w:val="11"/>
    <w:link w:val="3"/>
    <w:semiHidden/>
    <w:qFormat/>
    <w:uiPriority w:val="99"/>
  </w:style>
  <w:style w:type="character" w:customStyle="1" w:styleId="25">
    <w:name w:val="正文首行缩进 Char"/>
    <w:basedOn w:val="24"/>
    <w:link w:val="8"/>
    <w:qFormat/>
    <w:uiPriority w:val="99"/>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2024-2025</a:t>
            </a:r>
            <a:r>
              <a:rPr altLang="en-US"/>
              <a:t>收支总计对比情况（单位：万元）</a:t>
            </a:r>
            <a:endParaRPr altLang="en-US"/>
          </a:p>
        </c:rich>
      </c:tx>
      <c:layout/>
      <c:overlay val="0"/>
      <c:spPr>
        <a:noFill/>
        <a:ln>
          <a:noFill/>
        </a:ln>
        <a:effectLst/>
      </c:spPr>
    </c:title>
    <c:autoTitleDeleted val="0"/>
    <c:plotArea>
      <c:layout/>
      <c:barChart>
        <c:barDir val="col"/>
        <c:grouping val="clustered"/>
        <c:varyColors val="0"/>
        <c:ser>
          <c:idx val="0"/>
          <c:order val="0"/>
          <c:tx>
            <c:strRef>
              <c:f>Sheet1!$A$2</c:f>
              <c:strCache>
                <c:ptCount val="1"/>
                <c:pt idx="0">
                  <c:v>2024年</c:v>
                </c:pt>
              </c:strCache>
            </c:strRef>
          </c:tx>
          <c:spPr>
            <a:solidFill>
              <a:srgbClr val="4874CB"/>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Sheet1!$B$1:$C$1</c:f>
              <c:strCache>
                <c:ptCount val="2"/>
                <c:pt idx="0">
                  <c:v>收入</c:v>
                </c:pt>
                <c:pt idx="1">
                  <c:v>支出</c:v>
                </c:pt>
              </c:strCache>
            </c:strRef>
          </c:cat>
          <c:val>
            <c:numRef>
              <c:f>Sheet1!$B$2:$C$2</c:f>
              <c:numCache>
                <c:formatCode>#,##0.00</c:formatCode>
                <c:ptCount val="2"/>
                <c:pt idx="0">
                  <c:v>3333.11</c:v>
                </c:pt>
                <c:pt idx="1">
                  <c:v>3333.11</c:v>
                </c:pt>
              </c:numCache>
            </c:numRef>
          </c:val>
        </c:ser>
        <c:ser>
          <c:idx val="1"/>
          <c:order val="1"/>
          <c:tx>
            <c:strRef>
              <c:f>Sheet1!$A$3</c:f>
              <c:strCache>
                <c:ptCount val="1"/>
                <c:pt idx="0">
                  <c:v>2025年</c:v>
                </c:pt>
              </c:strCache>
            </c:strRef>
          </c:tx>
          <c:spPr>
            <a:solidFill>
              <a:srgbClr val="EE822F"/>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Sheet1!$B$1:$C$1</c:f>
              <c:strCache>
                <c:ptCount val="2"/>
                <c:pt idx="0">
                  <c:v>收入</c:v>
                </c:pt>
                <c:pt idx="1">
                  <c:v>支出</c:v>
                </c:pt>
              </c:strCache>
            </c:strRef>
          </c:cat>
          <c:val>
            <c:numRef>
              <c:f>Sheet1!$B$3:$C$3</c:f>
              <c:numCache>
                <c:formatCode>#,##0.00</c:formatCode>
                <c:ptCount val="2"/>
                <c:pt idx="0">
                  <c:v>9518.87</c:v>
                </c:pt>
                <c:pt idx="1">
                  <c:v>9518.87</c:v>
                </c:pt>
              </c:numCache>
            </c:numRef>
          </c:val>
        </c:ser>
        <c:dLbls>
          <c:showLegendKey val="0"/>
          <c:showVal val="1"/>
          <c:showCatName val="0"/>
          <c:showSerName val="0"/>
          <c:showPercent val="0"/>
          <c:showBubbleSize val="0"/>
        </c:dLbls>
        <c:gapWidth val="246"/>
        <c:overlap val="-28"/>
        <c:axId val="266979200"/>
        <c:axId val="266980736"/>
      </c:barChart>
      <c:catAx>
        <c:axId val="26697920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6980736"/>
        <c:crosses val="autoZero"/>
        <c:auto val="1"/>
        <c:lblAlgn val="ctr"/>
        <c:lblOffset val="100"/>
        <c:noMultiLvlLbl val="0"/>
      </c:catAx>
      <c:valAx>
        <c:axId val="266980736"/>
        <c:scaling>
          <c:orientation val="minMax"/>
        </c:scaling>
        <c:delete val="0"/>
        <c:axPos val="l"/>
        <c:majorGridlines>
          <c:spPr>
            <a:ln w="9525" cap="flat" cmpd="sng" algn="ctr">
              <a:solidFill>
                <a:schemeClr val="lt1">
                  <a:lumMod val="90200"/>
                </a:schemeClr>
              </a:solidFill>
              <a:prstDash val="solid"/>
              <a:round/>
            </a:ln>
            <a:effectLst/>
          </c:spPr>
        </c:majorGridlines>
        <c:numFmt formatCode="#,##0.00" sourceLinked="1"/>
        <c:majorTickMark val="none"/>
        <c:minorTickMark val="none"/>
        <c:tickLblPos val="nextTo"/>
        <c:spPr>
          <a:noFill/>
          <a:ln w="1270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697920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b6246ef-cc2c-4b0e-a30e-8e62de09edef}"/>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收入决算构成情况（单位：万元）</a:t>
            </a:r>
          </a:p>
        </c:rich>
      </c:tx>
      <c:layout/>
      <c:overlay val="0"/>
      <c:spPr>
        <a:noFill/>
        <a:ln>
          <a:noFill/>
        </a:ln>
        <a:effectLst/>
      </c:spPr>
    </c:title>
    <c:autoTitleDeleted val="0"/>
    <c:plotArea>
      <c:layout/>
      <c:pieChart>
        <c:varyColors val="1"/>
        <c:ser>
          <c:idx val="0"/>
          <c:order val="0"/>
          <c:tx>
            <c:strRef>
              <c:f>Sheet1!$B$1</c:f>
              <c:strCache>
                <c:ptCount val="1"/>
                <c:pt idx="0">
                  <c:v>金额</c:v>
                </c:pt>
              </c:strCache>
            </c:strRef>
          </c:tx>
          <c:spPr/>
          <c:explosion val="0"/>
          <c:dPt>
            <c:idx val="0"/>
            <c:bubble3D val="0"/>
            <c:spPr>
              <a:solidFill>
                <a:schemeClr val="accent1"/>
              </a:solidFill>
              <a:ln>
                <a:solidFill>
                  <a:schemeClr val="bg1"/>
                </a:solidFill>
              </a:ln>
              <a:effectLst/>
            </c:spPr>
          </c:dPt>
          <c:dPt>
            <c:idx val="1"/>
            <c:bubble3D val="0"/>
            <c:explosion val="0"/>
            <c:spPr>
              <a:solidFill>
                <a:schemeClr val="accent6"/>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rgbClr val="C00000"/>
              </a:solidFill>
              <a:ln>
                <a:solidFill>
                  <a:schemeClr val="bg1"/>
                </a:solidFill>
              </a:ln>
              <a:effectLst/>
            </c:spPr>
          </c:dPt>
          <c:dLbls>
            <c:dLbl>
              <c:idx val="0"/>
              <c:layout>
                <c:manualLayout>
                  <c:x val="0.0994488977955912"/>
                  <c:y val="0.203069053708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18537074148297"/>
                  <c:y val="-0.018158567774936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68436873747495"/>
                  <c:y val="-0.097953964194373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39278557114228"/>
                  <c:y val="0.013554987212276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993236472945891"/>
                  <c:y val="-0.097186700767263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12813126252505"/>
                  <c:y val="0.18516624040920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财政拨款收入</c:v>
                </c:pt>
                <c:pt idx="1">
                  <c:v>事业收入</c:v>
                </c:pt>
                <c:pt idx="2">
                  <c:v>上级补助收入</c:v>
                </c:pt>
                <c:pt idx="3">
                  <c:v>附属单位上缴收入</c:v>
                </c:pt>
                <c:pt idx="4">
                  <c:v>经营收入</c:v>
                </c:pt>
                <c:pt idx="5">
                  <c:v>其他收入</c:v>
                </c:pt>
              </c:strCache>
            </c:strRef>
          </c:cat>
          <c:val>
            <c:numRef>
              <c:f>Sheet1!$B$2:$B$7</c:f>
              <c:numCache>
                <c:formatCode>General</c:formatCode>
                <c:ptCount val="6"/>
                <c:pt idx="0">
                  <c:v>2661.66</c:v>
                </c:pt>
                <c:pt idx="1">
                  <c:v>6824.06</c:v>
                </c:pt>
                <c:pt idx="3">
                  <c:v>0</c:v>
                </c:pt>
                <c:pt idx="4">
                  <c:v>0</c:v>
                </c:pt>
                <c:pt idx="5">
                  <c:v>5.74</c:v>
                </c:pt>
              </c:numCache>
            </c:numRef>
          </c:val>
        </c:ser>
        <c:dLbls>
          <c:showLegendKey val="0"/>
          <c:showVal val="1"/>
          <c:showCatName val="0"/>
          <c:showSerName val="0"/>
          <c:showPercent val="0"/>
          <c:showBubbleSize val="0"/>
          <c:showLeaderLines val="1"/>
        </c:dLbls>
        <c:firstSliceAng val="46"/>
      </c:pieChart>
      <c:spPr>
        <a:noFill/>
        <a:ln>
          <a:noFill/>
        </a:ln>
        <a:effectLst/>
      </c:spPr>
    </c:plotArea>
    <c:legend>
      <c:legendPos val="t"/>
      <c:layout>
        <c:manualLayout>
          <c:xMode val="edge"/>
          <c:yMode val="edge"/>
          <c:x val="0.036277001270648"/>
          <c:y val="0.14887365328109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78b0525-b29b-4a4f-9702-f4c37bdbc60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支出决算构成情况占比</a:t>
            </a:r>
          </a:p>
        </c:rich>
      </c:tx>
      <c:layout/>
      <c:overlay val="0"/>
      <c:spPr>
        <a:noFill/>
        <a:ln>
          <a:noFill/>
        </a:ln>
        <a:effectLst/>
      </c:spPr>
    </c:title>
    <c:autoTitleDeleted val="0"/>
    <c:plotArea>
      <c:layout/>
      <c:pieChart>
        <c:varyColors val="1"/>
        <c:ser>
          <c:idx val="0"/>
          <c:order val="0"/>
          <c:tx>
            <c:strRef>
              <c:f>Sheet1!$B$1</c:f>
              <c:strCache>
                <c:ptCount val="1"/>
                <c:pt idx="0">
                  <c:v>支出金额</c:v>
                </c:pt>
              </c:strCache>
            </c:strRef>
          </c:tx>
          <c:spPr/>
          <c:explosion val="0"/>
          <c:dPt>
            <c:idx val="0"/>
            <c:bubble3D val="0"/>
            <c:spPr>
              <a:solidFill>
                <a:schemeClr val="accent1"/>
              </a:solidFill>
              <a:ln>
                <a:solidFill>
                  <a:schemeClr val="bg1"/>
                </a:solidFill>
              </a:ln>
              <a:effectLst/>
            </c:spPr>
          </c:dPt>
          <c:dPt>
            <c:idx val="1"/>
            <c:bubble3D val="0"/>
            <c:spPr>
              <a:solidFill>
                <a:srgbClr val="EE822F"/>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0"/>
              <c:layout>
                <c:manualLayout>
                  <c:x val="0.0488040589514376"/>
                  <c:y val="-0.0074373140671483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67914955303213"/>
                  <c:y val="0.0089247768805779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76772938674774"/>
                  <c:y val="-0.1016356333304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696978945683802"/>
                  <c:y val="-0.018361392066743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555964952807667"/>
                  <c:y val="0.040067167477561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0%</c:formatCode>
                <c:ptCount val="5"/>
                <c:pt idx="0">
                  <c:v>0.29</c:v>
                </c:pt>
                <c:pt idx="1">
                  <c:v>0.71</c:v>
                </c:pt>
                <c:pt idx="2">
                  <c:v>0</c:v>
                </c:pt>
                <c:pt idx="3">
                  <c:v>0</c:v>
                </c:pt>
                <c:pt idx="4">
                  <c:v>0</c:v>
                </c:pt>
              </c:numCache>
            </c:numRef>
          </c:val>
        </c:ser>
        <c:dLbls>
          <c:showLegendKey val="0"/>
          <c:showVal val="1"/>
          <c:showCatName val="0"/>
          <c:showSerName val="0"/>
          <c:showPercent val="0"/>
          <c:showBubbleSize val="0"/>
          <c:showLeaderLines val="1"/>
        </c:dLbls>
        <c:firstSliceAng val="46"/>
      </c:pieChart>
      <c:spPr>
        <a:noFill/>
        <a:ln>
          <a:noFill/>
        </a:ln>
        <a:effectLst/>
      </c:spPr>
    </c:plotArea>
    <c:legend>
      <c:legendPos val="t"/>
      <c:layout>
        <c:manualLayout>
          <c:xMode val="edge"/>
          <c:yMode val="edge"/>
          <c:x val="0.141821696061851"/>
          <c:y val="0.13174670633234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8116378-7e58-4138-a2fc-b8c53399345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2024-2025年财政拨款收支对比图（万元）</a:t>
            </a:r>
          </a:p>
        </c:rich>
      </c:tx>
      <c:layout>
        <c:manualLayout>
          <c:xMode val="edge"/>
          <c:yMode val="edge"/>
          <c:x val="0.213528621798576"/>
          <c:y val="0.02549936251593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2024年</c:v>
                </c:pt>
              </c:strCache>
            </c:strRef>
          </c:tx>
          <c:spPr>
            <a:solidFill>
              <a:schemeClr val="accent6"/>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财政拨款收入</c:v>
                </c:pt>
                <c:pt idx="1">
                  <c:v>财政拨款支出</c:v>
                </c:pt>
                <c:pt idx="2">
                  <c:v>一般公共预算财政拨款收入</c:v>
                </c:pt>
                <c:pt idx="3">
                  <c:v>一般公共预算财政拨款支出</c:v>
                </c:pt>
                <c:pt idx="4">
                  <c:v>政府性基金财政拨款收入</c:v>
                </c:pt>
                <c:pt idx="5">
                  <c:v>政府性基金财政拨款支出</c:v>
                </c:pt>
                <c:pt idx="6">
                  <c:v>国有资本经营预算财政拨款收入</c:v>
                </c:pt>
                <c:pt idx="7">
                  <c:v>国有资本经营预算财政拨款支出</c:v>
                </c:pt>
              </c:strCache>
            </c:strRef>
          </c:cat>
          <c:val>
            <c:numRef>
              <c:f>Sheet1!$B$2:$B$9</c:f>
              <c:numCache>
                <c:formatCode>General</c:formatCode>
                <c:ptCount val="8"/>
                <c:pt idx="0">
                  <c:v>2293.91</c:v>
                </c:pt>
                <c:pt idx="1">
                  <c:v>2293.91</c:v>
                </c:pt>
                <c:pt idx="2">
                  <c:v>2293.91</c:v>
                </c:pt>
                <c:pt idx="3">
                  <c:v>2260.65</c:v>
                </c:pt>
                <c:pt idx="4">
                  <c:v>0</c:v>
                </c:pt>
                <c:pt idx="5">
                  <c:v>0</c:v>
                </c:pt>
                <c:pt idx="6">
                  <c:v>0</c:v>
                </c:pt>
                <c:pt idx="7">
                  <c:v>0</c:v>
                </c:pt>
              </c:numCache>
            </c:numRef>
          </c:val>
        </c:ser>
        <c:ser>
          <c:idx val="1"/>
          <c:order val="1"/>
          <c:tx>
            <c:strRef>
              <c:f>Sheet1!$C$1</c:f>
              <c:strCache>
                <c:ptCount val="1"/>
                <c:pt idx="0">
                  <c:v>2025年</c:v>
                </c:pt>
              </c:strCache>
            </c:strRef>
          </c:tx>
          <c:spPr>
            <a:solidFill>
              <a:schemeClr val="accent5"/>
            </a:solidFill>
            <a:ln>
              <a:noFill/>
            </a:ln>
            <a:effectLst/>
          </c:spPr>
          <c:invertIfNegative val="0"/>
          <c:dLbls>
            <c:dLbl>
              <c:idx val="2"/>
              <c:layout>
                <c:manualLayout>
                  <c:x val="0"/>
                  <c:y val="-0.033424751456976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83166999334664"/>
                  <c:y val="-0.046280425094274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财政拨款收入</c:v>
                </c:pt>
                <c:pt idx="1">
                  <c:v>财政拨款支出</c:v>
                </c:pt>
                <c:pt idx="2">
                  <c:v>一般公共预算财政拨款收入</c:v>
                </c:pt>
                <c:pt idx="3">
                  <c:v>一般公共预算财政拨款支出</c:v>
                </c:pt>
                <c:pt idx="4">
                  <c:v>政府性基金财政拨款收入</c:v>
                </c:pt>
                <c:pt idx="5">
                  <c:v>政府性基金财政拨款支出</c:v>
                </c:pt>
                <c:pt idx="6">
                  <c:v>国有资本经营预算财政拨款收入</c:v>
                </c:pt>
                <c:pt idx="7">
                  <c:v>国有资本经营预算财政拨款支出</c:v>
                </c:pt>
              </c:strCache>
            </c:strRef>
          </c:cat>
          <c:val>
            <c:numRef>
              <c:f>Sheet1!$C$2:$C$9</c:f>
              <c:numCache>
                <c:formatCode>General</c:formatCode>
                <c:ptCount val="8"/>
                <c:pt idx="0">
                  <c:v>2689.06</c:v>
                </c:pt>
                <c:pt idx="1">
                  <c:v>2689.06</c:v>
                </c:pt>
                <c:pt idx="2">
                  <c:v>2661.66</c:v>
                </c:pt>
                <c:pt idx="3">
                  <c:v>2689.06</c:v>
                </c:pt>
                <c:pt idx="4">
                  <c:v>0</c:v>
                </c:pt>
                <c:pt idx="5">
                  <c:v>0</c:v>
                </c:pt>
                <c:pt idx="6">
                  <c:v>0</c:v>
                </c:pt>
                <c:pt idx="7">
                  <c:v>0</c:v>
                </c:pt>
              </c:numCache>
            </c:numRef>
          </c:val>
        </c:ser>
        <c:dLbls>
          <c:showLegendKey val="0"/>
          <c:showVal val="1"/>
          <c:showCatName val="0"/>
          <c:showSerName val="0"/>
          <c:showPercent val="0"/>
          <c:showBubbleSize val="0"/>
        </c:dLbls>
        <c:gapWidth val="216"/>
        <c:overlap val="-32"/>
        <c:axId val="40225855"/>
        <c:axId val="660958640"/>
      </c:barChart>
      <c:catAx>
        <c:axId val="40225855"/>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0958640"/>
        <c:crosses val="autoZero"/>
        <c:auto val="1"/>
        <c:lblAlgn val="ctr"/>
        <c:lblOffset val="100"/>
        <c:noMultiLvlLbl val="0"/>
      </c:catAx>
      <c:valAx>
        <c:axId val="660958640"/>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22585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66295a0e-fcae-41ee-a341-67ee1d25695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财政拨款收支预算对比图（万元）</a:t>
            </a:r>
          </a:p>
        </c:rich>
      </c:tx>
      <c:layout>
        <c:manualLayout>
          <c:xMode val="edge"/>
          <c:yMode val="edge"/>
          <c:x val="0.35642924306535"/>
          <c:y val="0.028735632183908"/>
        </c:manualLayout>
      </c:layout>
      <c:overlay val="0"/>
      <c:spPr>
        <a:noFill/>
        <a:ln>
          <a:noFill/>
        </a:ln>
        <a:effectLst/>
      </c:spPr>
    </c:title>
    <c:autoTitleDeleted val="0"/>
    <c:plotArea>
      <c:layout>
        <c:manualLayout>
          <c:layoutTarget val="inner"/>
          <c:xMode val="edge"/>
          <c:yMode val="edge"/>
          <c:x val="0.17641942498188"/>
          <c:y val="0.160433489162771"/>
          <c:w val="0.795796086011114"/>
          <c:h val="0.474330641733957"/>
        </c:manualLayout>
      </c:layout>
      <c:barChart>
        <c:barDir val="col"/>
        <c:grouping val="clustered"/>
        <c:varyColors val="0"/>
        <c:ser>
          <c:idx val="0"/>
          <c:order val="0"/>
          <c:tx>
            <c:strRef>
              <c:f>Sheet1!$B$1</c:f>
              <c:strCache>
                <c:ptCount val="1"/>
                <c:pt idx="0">
                  <c:v>年初预算数</c:v>
                </c:pt>
              </c:strCache>
            </c:strRef>
          </c:tx>
          <c:spPr>
            <a:solidFill>
              <a:schemeClr val="accent6"/>
            </a:solidFill>
            <a:ln>
              <a:noFill/>
            </a:ln>
            <a:effectLst/>
          </c:spPr>
          <c:invertIfNegative val="0"/>
          <c:dLbls>
            <c:dLbl>
              <c:idx val="2"/>
              <c:layout>
                <c:manualLayout>
                  <c:x val="0"/>
                  <c:y val="-0.038190582128290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586907449209932"/>
                  <c:y val="-0.034853540971449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财政拨款收入</c:v>
                </c:pt>
                <c:pt idx="1">
                  <c:v>财政拨款支出</c:v>
                </c:pt>
                <c:pt idx="2">
                  <c:v>一般公共预算财政拨款收入</c:v>
                </c:pt>
                <c:pt idx="3">
                  <c:v>一般公共预算财政拨款支出</c:v>
                </c:pt>
                <c:pt idx="4">
                  <c:v>政府性基金财政拨款收入</c:v>
                </c:pt>
                <c:pt idx="5">
                  <c:v>政府性基金财政拨款支出</c:v>
                </c:pt>
                <c:pt idx="6">
                  <c:v>国有资本经营预算财政拨款收入</c:v>
                </c:pt>
                <c:pt idx="7">
                  <c:v>国有资本经营预算财政拨款支出</c:v>
                </c:pt>
              </c:strCache>
            </c:strRef>
          </c:cat>
          <c:val>
            <c:numRef>
              <c:f>Sheet1!$B$2:$B$9</c:f>
              <c:numCache>
                <c:formatCode>General</c:formatCode>
                <c:ptCount val="8"/>
                <c:pt idx="0">
                  <c:v>2375.73</c:v>
                </c:pt>
                <c:pt idx="1">
                  <c:v>2375.73</c:v>
                </c:pt>
                <c:pt idx="2">
                  <c:v>2375.73</c:v>
                </c:pt>
                <c:pt idx="3">
                  <c:v>2375.73</c:v>
                </c:pt>
                <c:pt idx="4">
                  <c:v>0</c:v>
                </c:pt>
                <c:pt idx="5">
                  <c:v>0</c:v>
                </c:pt>
                <c:pt idx="6">
                  <c:v>0</c:v>
                </c:pt>
                <c:pt idx="7">
                  <c:v>0</c:v>
                </c:pt>
              </c:numCache>
            </c:numRef>
          </c:val>
        </c:ser>
        <c:ser>
          <c:idx val="1"/>
          <c:order val="1"/>
          <c:tx>
            <c:strRef>
              <c:f>Sheet1!$C$1</c:f>
              <c:strCache>
                <c:ptCount val="1"/>
                <c:pt idx="0">
                  <c:v>决算数</c:v>
                </c:pt>
              </c:strCache>
            </c:strRef>
          </c:tx>
          <c:spPr>
            <a:solidFill>
              <a:schemeClr val="accent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财政拨款收入</c:v>
                </c:pt>
                <c:pt idx="1">
                  <c:v>财政拨款支出</c:v>
                </c:pt>
                <c:pt idx="2">
                  <c:v>一般公共预算财政拨款收入</c:v>
                </c:pt>
                <c:pt idx="3">
                  <c:v>一般公共预算财政拨款支出</c:v>
                </c:pt>
                <c:pt idx="4">
                  <c:v>政府性基金财政拨款收入</c:v>
                </c:pt>
                <c:pt idx="5">
                  <c:v>政府性基金财政拨款支出</c:v>
                </c:pt>
                <c:pt idx="6">
                  <c:v>国有资本经营预算财政拨款收入</c:v>
                </c:pt>
                <c:pt idx="7">
                  <c:v>国有资本经营预算财政拨款支出</c:v>
                </c:pt>
              </c:strCache>
            </c:strRef>
          </c:cat>
          <c:val>
            <c:numRef>
              <c:f>Sheet1!$C$2:$C$9</c:f>
              <c:numCache>
                <c:formatCode>General</c:formatCode>
                <c:ptCount val="8"/>
                <c:pt idx="0">
                  <c:v>2661.66</c:v>
                </c:pt>
                <c:pt idx="1">
                  <c:v>2689.06</c:v>
                </c:pt>
                <c:pt idx="2">
                  <c:v>2661.66</c:v>
                </c:pt>
                <c:pt idx="3">
                  <c:v>2689.06</c:v>
                </c:pt>
                <c:pt idx="4">
                  <c:v>0</c:v>
                </c:pt>
                <c:pt idx="5">
                  <c:v>0</c:v>
                </c:pt>
                <c:pt idx="6">
                  <c:v>0</c:v>
                </c:pt>
                <c:pt idx="7">
                  <c:v>0</c:v>
                </c:pt>
              </c:numCache>
            </c:numRef>
          </c:val>
        </c:ser>
        <c:dLbls>
          <c:showLegendKey val="0"/>
          <c:showVal val="1"/>
          <c:showCatName val="0"/>
          <c:showSerName val="0"/>
          <c:showPercent val="0"/>
          <c:showBubbleSize val="0"/>
        </c:dLbls>
        <c:gapWidth val="216"/>
        <c:overlap val="-32"/>
        <c:axId val="136214206"/>
        <c:axId val="897256872"/>
      </c:barChart>
      <c:catAx>
        <c:axId val="13621420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7256872"/>
        <c:crosses val="autoZero"/>
        <c:auto val="1"/>
        <c:lblAlgn val="ctr"/>
        <c:lblOffset val="100"/>
        <c:noMultiLvlLbl val="0"/>
      </c:catAx>
      <c:valAx>
        <c:axId val="89725687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621420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0ccdd1c4-3744-4db9-807f-dec00dfe52d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1028"/>
  </customShpExts>
</s:customData>
</file>

<file path=customXml/item2.xml><?xml version="1.0" encoding="utf-8"?>
<contractReview xmlns="http://schemas.wps.cn/vas-ai-hub/contract-review">
  <reviewItems>
    <reviewItem>
      <errorID>54aac643-86dd-4600-ae76-7987d045fcfd</errorID>
      <errorWord>(</errorWord>
      <group>L1_Format</group>
      <groupName>格式问题</groupName>
      <ability>L2_HalfPunc_CN</ability>
      <abilityName>全半角问题</abilityName>
      <candidateList>
        <item>（</item>
      </candidateList>
      <explain>文本全半角错误。</explain>
      <paraID>16E7D2BE</paraID>
      <start>3</start>
      <end>4</end>
      <status>unmodified</status>
      <modifiedWord/>
      <trackRevisions>false</trackRevisions>
    </reviewItem>
    <reviewItem>
      <errorID>982fefa6-0491-4da2-bff5-9b6e3920efda</errorID>
      <errorWord>)</errorWord>
      <group>L1_Format</group>
      <groupName>格式问题</groupName>
      <ability>L2_HalfPunc_CN</ability>
      <abilityName>全半角问题</abilityName>
      <candidateList>
        <item>）</item>
      </candidateList>
      <explain>文本全半角错误。</explain>
      <paraID>16E7D2BE</paraID>
      <start>6</start>
      <end>7</end>
      <status>unmodified</status>
      <modifiedWord/>
      <trackRevisions>false</trackRevisions>
    </reviewItem>
    <reviewItem>
      <errorID>8ec06d4d-313a-4262-899a-b39fce89083a</errorID>
      <errorWord>省委省政府</errorWord>
      <group>L1_Political</group>
      <groupName>政治性问题</groupName>
      <ability>L2_Keyword</ability>
      <abilityName>固定表述</abilityName>
      <candidateList>
        <item>省委、省政府</item>
      </candidateList>
      <explain>注意检查当前固定表述标点是否使用规范。</explain>
      <paraID>306DACCA</paraID>
      <start>2</start>
      <end>7</end>
      <status>unmodified</status>
      <modifiedWord/>
      <trackRevisions>false</trackRevisions>
    </reviewItem>
    <reviewItem>
      <errorID>a706bc98-4054-4876-b81e-99521e0c4af8</errorID>
      <errorWord>……等</errorWord>
      <group>L1_Punc</group>
      <groupName>标点问题</groupName>
      <ability>L2_Punc_CN</ability>
      <abilityName>标点符号问题</abilityName>
      <candidateList>
        <item>等</item>
      </candidateList>
      <explain/>
      <paraID>58180581</paraID>
      <start>101</start>
      <end>104</end>
      <status>unmodified</status>
      <modifiedWord/>
      <trackRevisions>false</trackRevisions>
    </reviewItem>
    <reviewItem>
      <errorID>8a92fe61-a927-47f4-a0b4-781fc6c5b787</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78FB8F5F</paraID>
      <start>14</start>
      <end>17</end>
      <status>unmodified</status>
      <modifiedWord/>
      <trackRevisions>false</trackRevisions>
    </reviewItem>
    <reviewItem>
      <errorID>e844414b-9480-4883-96c0-5c3fea62097b</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16F1A0B2</paraID>
      <start>15</start>
      <end>18</end>
      <status>unmodified</status>
      <modifiedWord/>
      <trackRevisions>false</trackRevisions>
    </reviewItem>
    <reviewItem>
      <errorID>094cb84c-bdc4-4cf5-bc68-5d2c333f7cdf</errorID>
      <errorWord>,</errorWord>
      <group>L1_Format</group>
      <groupName>格式问题</groupName>
      <ability>L2_HalfPunc_CN</ability>
      <abilityName>全半角问题</abilityName>
      <candidateList>
        <item>，</item>
      </candidateList>
      <explain>文本全半角错误。</explain>
      <paraID>5A2ABFAF</paraID>
      <start>29</start>
      <end>30</end>
      <status>unmodified</status>
      <modifiedWord/>
      <trackRevisions>false</trackRevisions>
    </reviewItem>
    <reviewItem>
      <errorID>f7695bbd-c74d-4dad-a62a-ec99ef48c7f1</errorID>
      <errorWord>,</errorWord>
      <group>L1_Format</group>
      <groupName>格式问题</groupName>
      <ability>L2_HalfPunc_CN</ability>
      <abilityName>全半角问题</abilityName>
      <candidateList>
        <item>，</item>
      </candidateList>
      <explain>文本全半角错误。</explain>
      <paraID>3BDA071F</paraID>
      <start>89</start>
      <end>90</end>
      <status>unmodified</status>
      <modifiedWord/>
      <trackRevisions>false</trackRevisions>
    </reviewItem>
    <reviewItem>
      <errorID>f0150597-74fe-43fa-bfb4-d9432e9b27c1</errorID>
      <errorWord>（</errorWord>
      <group>L1_Punc</group>
      <groupName>标点问题</groupName>
      <ability>L2_Punc_CN</ability>
      <abilityName>标点符号问题</abilityName>
      <candidateList/>
      <explain>同一形式括号套用。</explain>
      <paraID> 181742E</paraID>
      <start>24</start>
      <end>25</end>
      <status>unmodified</status>
      <modifiedWord/>
      <trackRevisions>false</trackRevisions>
    </reviewItem>
    <reviewItem>
      <errorID>a2b6052a-a2f0-430e-baa1-8dd75bf0e098</errorID>
      <errorWord>）</errorWord>
      <group>L1_Punc</group>
      <groupName>标点问题</groupName>
      <ability>L2_Punc_CN</ability>
      <abilityName>标点符号问题</abilityName>
      <candidateList/>
      <explain>同一形式括号套用。</explain>
      <paraID> 181742E</paraID>
      <start>27</start>
      <end>28</end>
      <status>unmodified</status>
      <modifiedWord/>
      <trackRevisions>false</trackRevisions>
    </reviewItem>
    <reviewItem>
      <errorID>8dd89320-3cde-4cd6-8a56-f7d12877f030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181742E</paraID>
      <start>72</start>
      <end>75</end>
      <status>unmodified</status>
      <modifiedWord/>
      <trackRevisions>false</trackRevisions>
    </reviewItem>
    <reviewItem>
      <errorID>30c8c3a8-2a6a-4a8b-9e33-81c8c6ebf4db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181742E</paraID>
      <start>80</start>
      <end>83</end>
      <status>unmodified</status>
      <modifiedWord/>
      <trackRevisions>false</trackRevisions>
    </reviewItem>
    <reviewItem>
      <errorID>19a5712f-0bd3-4960-a4f2-0e98fab87879</errorID>
      <errorWord>（</errorWord>
      <group>L1_Punc</group>
      <groupName>标点问题</groupName>
      <ability>L2_Punc_CN</ability>
      <abilityName>标点符号问题</abilityName>
      <candidateList/>
      <explain>同一形式括号套用。</explain>
      <paraID>19A82FAA</paraID>
      <start>89</start>
      <end>90</end>
      <status>unmodified</status>
      <modifiedWord/>
      <trackRevisions>false</trackRevisions>
    </reviewItem>
    <reviewItem>
      <errorID>136740df-13dd-4900-938a-3824f28839b1</errorID>
      <errorWord>）</errorWord>
      <group>L1_Punc</group>
      <groupName>标点问题</groupName>
      <ability>L2_Punc_CN</ability>
      <abilityName>标点符号问题</abilityName>
      <candidateList/>
      <explain>同一形式括号套用。</explain>
      <paraID>19A82FAA</paraID>
      <start>91</start>
      <end>92</end>
      <status>unmodified</status>
      <modifiedWord/>
      <trackRevisions>false</trackRevisions>
    </reviewItem>
    <reviewItem>
      <errorID>a1e312bd-4b1d-4428-8f3b-77f2bd9a23ae</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3F7248D5</paraID>
      <start>69</start>
      <end>75</end>
      <status>unmodified</status>
      <modifiedWord/>
      <trackRevisions>false</trackRevisions>
    </reviewItem>
    <reviewItem>
      <errorID>1ea5ea29-3d1e-4284-8e26-5822ed5884ff</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3F7248D5</paraID>
      <start>128</start>
      <end>134</end>
      <status>unmodified</status>
      <modifiedWord/>
      <trackRevisions>false</trackRevisions>
    </reviewItem>
    <reviewItem>
      <errorID>a83dccd8-d3c8-45f6-9345-5c3677f286d8</errorID>
      <errorWord>！！！</errorWord>
      <group>L1_Punc</group>
      <groupName>标点问题</groupName>
      <ability>L2_Punc_CN</ability>
      <abilityName>标点符号问题</abilityName>
      <candidateList>
        <item>！</item>
      </candidateList>
      <explain/>
      <paraID>6DA12ECC</paraID>
      <start>30</start>
      <end>33</end>
      <status>unmodified</status>
      <modifiedWord/>
      <trackRevisions>false</trackRevisions>
    </reviewItem>
    <reviewItem>
      <errorID>bd61380d-1f69-4a4a-9423-71b875211348</errorID>
      <errorWord>(</errorWord>
      <group>L1_Format</group>
      <groupName>格式问题</groupName>
      <ability>L2_HalfPunc_CN</ability>
      <abilityName>全半角问题</abilityName>
      <candidateList>
        <item>（</item>
      </candidateList>
      <explain>文本全半角错误。</explain>
      <paraID>621FC615</paraID>
      <start>137</start>
      <end>138</end>
      <status>unmodified</status>
      <modifiedWord/>
      <trackRevisions>false</trackRevisions>
    </reviewItem>
    <reviewItem>
      <errorID>4eec9b12-c0d8-4997-b77a-244a71e96b13</errorID>
      <errorWord>;</errorWord>
      <group>L1_Format</group>
      <groupName>格式问题</groupName>
      <ability>L2_HalfPunc_CN</ability>
      <abilityName>全半角问题</abilityName>
      <candidateList>
        <item>；</item>
      </candidateList>
      <explain>文本全半角错误。</explain>
      <paraID>621FC615</paraID>
      <start>166</start>
      <end>167</end>
      <status>unmodified</status>
      <modifiedWord/>
      <trackRevisions>false</trackRevisions>
    </reviewItem>
    <reviewItem>
      <errorID>5680ab97-7a4c-4349-8682-47bd3ee4146a</errorID>
      <errorWord>(</errorWord>
      <group>L1_Format</group>
      <groupName>格式问题</groupName>
      <ability>L2_HalfPunc_CN</ability>
      <abilityName>全半角问题</abilityName>
      <candidateList>
        <item>（</item>
      </candidateList>
      <explain>文本全半角错误。</explain>
      <paraID>3571346B</paraID>
      <start>0</start>
      <end>1</end>
      <status>unmodified</status>
      <modifiedWord/>
      <trackRevisions>false</trackRevisions>
    </reviewItem>
    <reviewItem>
      <errorID>98971025-662a-41c1-ba80-00bd131ae39b</errorID>
      <errorWord>(</errorWord>
      <group>L1_Format</group>
      <groupName>格式问题</groupName>
      <ability>L2_HalfPunc_CN</ability>
      <abilityName>全半角问题</abilityName>
      <candidateList>
        <item>（</item>
      </candidateList>
      <explain>文本全半角错误。</explain>
      <paraID>361767A5</paraID>
      <start>0</start>
      <end>1</end>
      <status>unmodified</status>
      <modifiedWord/>
      <trackRevisions>false</trackRevisions>
    </reviewItem>
    <reviewItem>
      <errorID>3d6c032c-6419-4cd1-8870-06fa78430f47</errorID>
      <errorWord>,</errorWord>
      <group>L1_Format</group>
      <groupName>格式问题</groupName>
      <ability>L2_HalfPunc_CN</ability>
      <abilityName>全半角问题</abilityName>
      <candidateList>
        <item>，</item>
      </candidateList>
      <explain>文本全半角错误。</explain>
      <paraID>361767A5</paraID>
      <start>14</start>
      <end>15</end>
      <status>unmodified</status>
      <modifiedWord/>
      <trackRevisions>false</trackRevisions>
    </reviewItem>
    <reviewItem>
      <errorID>3b13818a-58e9-4b4a-b668-8793fcdc2444</errorID>
      <errorWord>)</errorWord>
      <group>L1_Format</group>
      <groupName>格式问题</groupName>
      <ability>L2_HalfPunc_CN</ability>
      <abilityName>全半角问题</abilityName>
      <candidateList>
        <item>）</item>
      </candidateList>
      <explain>文本全半角错误。</explain>
      <paraID>361767A5</paraID>
      <start>60</start>
      <end>61</end>
      <status>unmodified</status>
      <modifiedWord/>
      <trackRevisions>false</trackRevisions>
    </reviewItem>
    <reviewItem>
      <errorID>2157e233-4e1c-4074-9f0e-a1c48d47e869</errorID>
      <errorWord>与</errorWord>
      <group>L1_Word</group>
      <groupName>字词问题</groupName>
      <ability>L2_Typo</ability>
      <abilityName>字词错误</abilityName>
      <candidateList>
        <item>和</item>
      </candidateList>
      <explain/>
      <paraID>2E297E0F</paraID>
      <start>17</start>
      <end>18</end>
      <status>unmodified</status>
      <modifiedWord/>
      <trackRevisions>false</trackRevisions>
    </reviewItem>
    <reviewItem>
      <errorID>acde418e-0f43-44be-9803-5b37d2975cd0</errorID>
      <errorWord>与</errorWord>
      <group>L1_Word</group>
      <groupName>字词问题</groupName>
      <ability>L2_Typo</ability>
      <abilityName>字词错误</abilityName>
      <candidateList>
        <item>和</item>
      </candidateList>
      <explain/>
      <paraID>1573C8D9</paraID>
      <start>19</start>
      <end>20</end>
      <status>unmodified</status>
      <modifiedWord/>
      <trackRevisions>false</trackRevisions>
    </reviewItem>
    <reviewItem>
      <errorID>feaf7a88-b5db-4058-bfb3-cc6cd9920ef8</errorID>
      <errorWord>战备性</errorWord>
      <group>L1_Word</group>
      <groupName>字词问题</groupName>
      <ability>L2_Typo</ability>
      <abilityName>字词错误</abilityName>
      <candidateList>
        <item>战略性</item>
      </candidateList>
      <explain/>
      <paraID>1573C8D9</paraID>
      <start>38</start>
      <end>41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52210-ef61-422b-b4ec-ebb56cf3b93b}">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43</Pages>
  <Words>1569</Words>
  <Characters>2240</Characters>
  <Lines>91</Lines>
  <Paragraphs>25</Paragraphs>
  <TotalTime>12</TotalTime>
  <ScaleCrop>false</ScaleCrop>
  <LinksUpToDate>false</LinksUpToDate>
  <CharactersWithSpaces>2286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2025-07-29T11:35:00Z</dcterms:created>
  <dc:creator>user</dc:creator>
  <cp:lastModifiedBy>小雨</cp:lastModifiedBy>
  <cp:lastPrinted>2026-07-23T03:10:00Z</cp:lastPrinted>
  <dcterms:modified xsi:type="dcterms:W3CDTF">2026-08-26T03:01:16Z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eyJoZGlkIjoiZWNkYzc5ZjU3MTBkYzVmZmM2ZWU2MzZjNWFhMGVmYjAiLCJ1c2VySWQiOiIyNTY4MTkxNTIifQ==</vt:lpwstr>
  </property>
  <property fmtid="{D5CDD505-2E9C-101B-9397-08002B2CF9AE}" pid="3" name="KSOProductBuildVer">
    <vt:lpwstr>2052-12.1.0.28043</vt:lpwstr>
  </property>
  <property fmtid="{D5CDD505-2E9C-101B-9397-08002B2CF9AE}" pid="4" name="ICV">
    <vt:lpwstr>B21D18FB37274BA8A00E3C6917B1CC0E_12</vt:lpwstr>
  </property>
</Properties>
</file>